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80" w:type="dxa"/>
        <w:tblInd w:w="-12" w:type="dxa"/>
        <w:tblLayout w:type="fixed"/>
        <w:tblLook w:val="0000"/>
      </w:tblPr>
      <w:tblGrid>
        <w:gridCol w:w="3240"/>
        <w:gridCol w:w="6000"/>
        <w:gridCol w:w="2040"/>
      </w:tblGrid>
      <w:tr w:rsidR="00C14DA1" w:rsidRPr="00A04A0B" w:rsidTr="00272E4B">
        <w:trPr>
          <w:cantSplit/>
          <w:trHeight w:val="823"/>
        </w:trPr>
        <w:tc>
          <w:tcPr>
            <w:tcW w:w="3240" w:type="dxa"/>
            <w:vMerge w:val="restart"/>
            <w:vAlign w:val="center"/>
          </w:tcPr>
          <w:p w:rsidR="00C14DA1" w:rsidRPr="00A04A0B" w:rsidRDefault="00B5257C" w:rsidP="00272E4B">
            <w:pPr>
              <w:jc w:val="center"/>
              <w:rPr>
                <w:rFonts w:ascii="Arial" w:hAnsi="Arial" w:cs="Arial"/>
              </w:rPr>
            </w:pPr>
            <w:r>
              <w:rPr>
                <w:rFonts w:ascii="Arial" w:hAnsi="Arial" w:cs="Arial"/>
                <w:noProof/>
              </w:rPr>
              <w:drawing>
                <wp:inline distT="0" distB="0" distL="0" distR="0">
                  <wp:extent cx="1943100" cy="914400"/>
                  <wp:effectExtent l="19050" t="0" r="0" b="0"/>
                  <wp:docPr id="1" name="Picture 2" descr="Arkansas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Department of Human Services"/>
                          <pic:cNvPicPr>
                            <a:picLocks noChangeAspect="1" noChangeArrowheads="1"/>
                          </pic:cNvPicPr>
                        </pic:nvPicPr>
                        <pic:blipFill>
                          <a:blip r:embed="rId7" cstate="print"/>
                          <a:srcRect/>
                          <a:stretch>
                            <a:fillRect/>
                          </a:stretch>
                        </pic:blipFill>
                        <pic:spPr bwMode="auto">
                          <a:xfrm>
                            <a:off x="0" y="0"/>
                            <a:ext cx="1943100" cy="914400"/>
                          </a:xfrm>
                          <a:prstGeom prst="rect">
                            <a:avLst/>
                          </a:prstGeom>
                          <a:noFill/>
                          <a:ln w="9525">
                            <a:noFill/>
                            <a:miter lim="800000"/>
                            <a:headEnd/>
                            <a:tailEnd/>
                          </a:ln>
                        </pic:spPr>
                      </pic:pic>
                    </a:graphicData>
                  </a:graphic>
                </wp:inline>
              </w:drawing>
            </w:r>
          </w:p>
        </w:tc>
        <w:tc>
          <w:tcPr>
            <w:tcW w:w="6000" w:type="dxa"/>
          </w:tcPr>
          <w:p w:rsidR="00C14DA1" w:rsidRDefault="00C14DA1" w:rsidP="00272E4B">
            <w:pPr>
              <w:pStyle w:val="Heading2"/>
              <w:rPr>
                <w:rFonts w:ascii="Franklin Gothic Demi" w:hAnsi="Franklin Gothic Demi" w:cs="Arial"/>
                <w:bCs w:val="0"/>
                <w:sz w:val="32"/>
                <w:szCs w:val="32"/>
              </w:rPr>
            </w:pPr>
          </w:p>
          <w:p w:rsidR="00C14DA1" w:rsidRDefault="00C14DA1" w:rsidP="00272E4B">
            <w:pPr>
              <w:pStyle w:val="Heading2"/>
              <w:rPr>
                <w:rFonts w:ascii="Franklin Gothic Demi" w:hAnsi="Franklin Gothic Demi" w:cs="Arial"/>
                <w:bCs w:val="0"/>
                <w:sz w:val="32"/>
                <w:szCs w:val="32"/>
              </w:rPr>
            </w:pPr>
            <w:r>
              <w:rPr>
                <w:rFonts w:ascii="Franklin Gothic Demi" w:hAnsi="Franklin Gothic Demi" w:cs="Arial"/>
                <w:bCs w:val="0"/>
                <w:sz w:val="32"/>
                <w:szCs w:val="32"/>
              </w:rPr>
              <w:t>Division of Medical Services</w:t>
            </w:r>
          </w:p>
          <w:p w:rsidR="00C14DA1" w:rsidRPr="00D60004" w:rsidRDefault="00C14DA1" w:rsidP="00C14DA1">
            <w:pPr>
              <w:pStyle w:val="Heading2"/>
              <w:rPr>
                <w:rFonts w:ascii="Franklin Gothic Demi" w:hAnsi="Franklin Gothic Demi" w:cs="Arial"/>
                <w:bCs w:val="0"/>
                <w:sz w:val="24"/>
              </w:rPr>
            </w:pPr>
          </w:p>
        </w:tc>
        <w:tc>
          <w:tcPr>
            <w:tcW w:w="2040" w:type="dxa"/>
            <w:vMerge w:val="restart"/>
            <w:vAlign w:val="center"/>
          </w:tcPr>
          <w:p w:rsidR="00C14DA1" w:rsidRPr="00A04A0B" w:rsidRDefault="00B5257C" w:rsidP="00272E4B">
            <w:pPr>
              <w:jc w:val="center"/>
              <w:rPr>
                <w:rFonts w:ascii="Arial" w:hAnsi="Arial" w:cs="Arial"/>
              </w:rPr>
            </w:pPr>
            <w:r>
              <w:rPr>
                <w:rFonts w:ascii="Verdana" w:hAnsi="Verdana"/>
                <w:noProof/>
                <w:color w:val="1659D8"/>
                <w:sz w:val="16"/>
                <w:szCs w:val="16"/>
              </w:rPr>
              <w:drawing>
                <wp:inline distT="0" distB="0" distL="0" distR="0">
                  <wp:extent cx="1104900" cy="1104900"/>
                  <wp:effectExtent l="19050" t="0" r="0" b="0"/>
                  <wp:docPr id="2" name="Picture 1" descr="Great Seal of the State of Arkansa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Seal of the State of Arkansas">
                            <a:hlinkClick r:id="rId8"/>
                          </pic:cNvPr>
                          <pic:cNvPicPr>
                            <a:picLocks noChangeAspect="1" noChangeArrowheads="1"/>
                          </pic:cNvPicPr>
                        </pic:nvPicPr>
                        <pic:blipFill>
                          <a:blip r:embed="rId9"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c>
      </w:tr>
      <w:tr w:rsidR="00C14DA1" w:rsidRPr="00A04A0B" w:rsidTr="00272E4B">
        <w:trPr>
          <w:cantSplit/>
          <w:trHeight w:val="823"/>
        </w:trPr>
        <w:tc>
          <w:tcPr>
            <w:tcW w:w="3240" w:type="dxa"/>
            <w:vMerge/>
          </w:tcPr>
          <w:p w:rsidR="00C14DA1" w:rsidRPr="00A04A0B" w:rsidRDefault="00C14DA1" w:rsidP="00272E4B">
            <w:pPr>
              <w:jc w:val="center"/>
              <w:rPr>
                <w:rFonts w:ascii="Arial" w:hAnsi="Arial" w:cs="Arial"/>
              </w:rPr>
            </w:pPr>
          </w:p>
        </w:tc>
        <w:tc>
          <w:tcPr>
            <w:tcW w:w="6000" w:type="dxa"/>
          </w:tcPr>
          <w:p w:rsidR="00C14DA1" w:rsidRDefault="00C14DA1" w:rsidP="00272E4B">
            <w:pPr>
              <w:spacing w:before="100" w:beforeAutospacing="1"/>
              <w:jc w:val="center"/>
              <w:rPr>
                <w:rFonts w:ascii="AGaramond Bold" w:hAnsi="AGaramond Bold"/>
                <w:bCs/>
                <w:sz w:val="20"/>
                <w:szCs w:val="20"/>
              </w:rPr>
            </w:pPr>
          </w:p>
          <w:p w:rsidR="00232F19" w:rsidRPr="00232F19" w:rsidRDefault="00232F19" w:rsidP="00232F19">
            <w:pPr>
              <w:jc w:val="center"/>
              <w:rPr>
                <w:rFonts w:ascii="AGaramond Bold" w:hAnsi="AGaramond Bold"/>
                <w:bCs/>
                <w:sz w:val="20"/>
                <w:szCs w:val="20"/>
              </w:rPr>
            </w:pPr>
            <w:r w:rsidRPr="00232F19">
              <w:rPr>
                <w:rFonts w:ascii="AGaramond Bold" w:hAnsi="AGaramond Bold"/>
                <w:bCs/>
                <w:sz w:val="20"/>
                <w:szCs w:val="20"/>
              </w:rPr>
              <w:t>P.O. Box 1437, Slot S295 • Little Rock, AR 72203-1437</w:t>
            </w:r>
          </w:p>
          <w:p w:rsidR="00232F19" w:rsidRPr="00232F19" w:rsidRDefault="00232F19" w:rsidP="00232F19">
            <w:pPr>
              <w:jc w:val="center"/>
              <w:rPr>
                <w:rFonts w:ascii="AGaramond Bold" w:hAnsi="AGaramond Bold"/>
                <w:bCs/>
                <w:sz w:val="20"/>
                <w:szCs w:val="20"/>
              </w:rPr>
            </w:pPr>
            <w:r w:rsidRPr="00232F19">
              <w:rPr>
                <w:rFonts w:ascii="AGaramond Bold" w:hAnsi="AGaramond Bold"/>
                <w:bCs/>
                <w:sz w:val="20"/>
                <w:szCs w:val="20"/>
              </w:rPr>
              <w:t>501-683-4120 • Fax: 501-683-4124</w:t>
            </w:r>
          </w:p>
          <w:p w:rsidR="00232F19" w:rsidRPr="00EC42C0" w:rsidRDefault="00232F19" w:rsidP="00232F19">
            <w:pPr>
              <w:spacing w:after="240"/>
              <w:jc w:val="center"/>
              <w:rPr>
                <w:rFonts w:ascii="Arial" w:hAnsi="Arial" w:cs="Arial"/>
                <w:bCs/>
                <w:sz w:val="20"/>
                <w:szCs w:val="20"/>
              </w:rPr>
            </w:pPr>
            <w:r w:rsidRPr="00232F19">
              <w:rPr>
                <w:rFonts w:ascii="AGaramond Bold" w:hAnsi="AGaramond Bold"/>
                <w:bCs/>
                <w:sz w:val="20"/>
                <w:szCs w:val="20"/>
              </w:rPr>
              <w:t>TDD/TTY: 501-682-6789</w:t>
            </w:r>
          </w:p>
        </w:tc>
        <w:tc>
          <w:tcPr>
            <w:tcW w:w="2040" w:type="dxa"/>
            <w:vMerge/>
          </w:tcPr>
          <w:p w:rsidR="00C14DA1" w:rsidRPr="00A04A0B" w:rsidRDefault="00C14DA1" w:rsidP="00272E4B">
            <w:pPr>
              <w:jc w:val="center"/>
              <w:rPr>
                <w:rFonts w:ascii="Arial" w:hAnsi="Arial" w:cs="Arial"/>
              </w:rPr>
            </w:pPr>
          </w:p>
        </w:tc>
      </w:tr>
    </w:tbl>
    <w:p w:rsidR="00C14DA1" w:rsidRPr="00A04A0B" w:rsidRDefault="00C14DA1" w:rsidP="00C14DA1">
      <w:pPr>
        <w:rPr>
          <w:rFonts w:ascii="AGaramond" w:hAnsi="AGaramond"/>
        </w:rPr>
        <w:sectPr w:rsidR="00C14DA1" w:rsidRPr="00A04A0B">
          <w:headerReference w:type="default" r:id="rId10"/>
          <w:footerReference w:type="first" r:id="rId11"/>
          <w:pgSz w:w="12240" w:h="15840" w:code="1"/>
          <w:pgMar w:top="720" w:right="720" w:bottom="720" w:left="720" w:header="0" w:footer="432" w:gutter="0"/>
          <w:cols w:space="720"/>
          <w:titlePg/>
          <w:docGrid w:linePitch="360"/>
        </w:sectPr>
      </w:pPr>
    </w:p>
    <w:p w:rsidR="00C14DA1" w:rsidRDefault="00C14DA1" w:rsidP="00C14DA1">
      <w:pPr>
        <w:ind w:right="90"/>
        <w:rPr>
          <w:rFonts w:ascii="Arial" w:hAnsi="Arial" w:cs="Arial"/>
        </w:rPr>
      </w:pPr>
    </w:p>
    <w:p w:rsidR="00227AD3" w:rsidRPr="00457AD6" w:rsidRDefault="00227AD3" w:rsidP="00227AD3">
      <w:pPr>
        <w:ind w:left="1400" w:hanging="1400"/>
        <w:jc w:val="center"/>
        <w:rPr>
          <w:rFonts w:ascii="Arial" w:hAnsi="Arial" w:cs="Arial"/>
          <w:sz w:val="17"/>
          <w:szCs w:val="17"/>
        </w:rPr>
      </w:pPr>
      <w:r w:rsidRPr="00457AD6">
        <w:rPr>
          <w:rFonts w:ascii="Arial" w:hAnsi="Arial" w:cs="Arial"/>
          <w:sz w:val="17"/>
          <w:szCs w:val="17"/>
        </w:rPr>
        <w:t>MEMORANDUM</w:t>
      </w:r>
    </w:p>
    <w:p w:rsidR="00227AD3" w:rsidRPr="00457AD6" w:rsidRDefault="00227AD3" w:rsidP="00227AD3">
      <w:pPr>
        <w:ind w:left="1400" w:hanging="1400"/>
        <w:rPr>
          <w:rFonts w:ascii="Arial" w:hAnsi="Arial" w:cs="Arial"/>
          <w:sz w:val="16"/>
          <w:szCs w:val="20"/>
        </w:rPr>
      </w:pPr>
    </w:p>
    <w:p w:rsidR="00227AD3" w:rsidRDefault="00227AD3" w:rsidP="008557D3">
      <w:pPr>
        <w:rPr>
          <w:rFonts w:ascii="Arial" w:hAnsi="Arial" w:cs="Arial"/>
          <w:sz w:val="18"/>
          <w:szCs w:val="18"/>
        </w:rPr>
      </w:pPr>
      <w:r w:rsidRPr="00464DAF">
        <w:rPr>
          <w:rFonts w:ascii="Arial" w:hAnsi="Arial" w:cs="Arial"/>
          <w:sz w:val="18"/>
          <w:szCs w:val="18"/>
        </w:rPr>
        <w:t>TO:</w:t>
      </w:r>
      <w:r w:rsidR="008557D3">
        <w:rPr>
          <w:rFonts w:ascii="Arial" w:hAnsi="Arial" w:cs="Arial"/>
          <w:sz w:val="18"/>
          <w:szCs w:val="18"/>
        </w:rPr>
        <w:tab/>
      </w:r>
      <w:r w:rsidRPr="00464DAF">
        <w:rPr>
          <w:rFonts w:ascii="Arial" w:hAnsi="Arial" w:cs="Arial"/>
          <w:sz w:val="18"/>
          <w:szCs w:val="18"/>
        </w:rPr>
        <w:tab/>
        <w:t>Arkansas Medicaid Prescribers and Interested Parties</w:t>
      </w:r>
    </w:p>
    <w:p w:rsidR="00AA40D6" w:rsidRPr="00464DAF" w:rsidRDefault="00AA40D6" w:rsidP="00AA40D6">
      <w:pPr>
        <w:ind w:left="1400" w:hanging="1400"/>
        <w:rPr>
          <w:rFonts w:ascii="Arial" w:hAnsi="Arial" w:cs="Arial"/>
          <w:sz w:val="18"/>
          <w:szCs w:val="18"/>
        </w:rPr>
      </w:pPr>
    </w:p>
    <w:p w:rsidR="00227AD3" w:rsidRPr="00464DAF" w:rsidRDefault="00227AD3" w:rsidP="00227AD3">
      <w:pPr>
        <w:tabs>
          <w:tab w:val="left" w:pos="720"/>
          <w:tab w:val="left" w:pos="1440"/>
          <w:tab w:val="left" w:pos="2160"/>
          <w:tab w:val="left" w:pos="2880"/>
          <w:tab w:val="left" w:pos="3600"/>
          <w:tab w:val="left" w:pos="4320"/>
          <w:tab w:val="left" w:pos="5040"/>
          <w:tab w:val="left" w:pos="5760"/>
          <w:tab w:val="left" w:pos="6480"/>
          <w:tab w:val="left" w:pos="7590"/>
        </w:tabs>
        <w:rPr>
          <w:rFonts w:ascii="Arial" w:hAnsi="Arial" w:cs="Arial"/>
          <w:sz w:val="18"/>
          <w:szCs w:val="18"/>
        </w:rPr>
      </w:pPr>
      <w:r w:rsidRPr="00464DAF">
        <w:rPr>
          <w:rFonts w:ascii="Arial" w:hAnsi="Arial" w:cs="Arial"/>
          <w:sz w:val="18"/>
          <w:szCs w:val="18"/>
        </w:rPr>
        <w:t>FROM:</w:t>
      </w:r>
      <w:r w:rsidRPr="00464DAF">
        <w:rPr>
          <w:rFonts w:ascii="Arial" w:hAnsi="Arial" w:cs="Arial"/>
          <w:sz w:val="18"/>
          <w:szCs w:val="18"/>
        </w:rPr>
        <w:tab/>
      </w:r>
      <w:r w:rsidRPr="00464DAF">
        <w:rPr>
          <w:rFonts w:ascii="Arial" w:hAnsi="Arial" w:cs="Arial"/>
          <w:sz w:val="18"/>
          <w:szCs w:val="18"/>
        </w:rPr>
        <w:tab/>
        <w:t xml:space="preserve">Suzette Bridges, P.D., Division of Medical Services Pharmacy Program </w:t>
      </w:r>
      <w:r w:rsidR="00B5257C">
        <w:rPr>
          <w:rFonts w:ascii="Arial" w:hAnsi="Arial" w:cs="Arial"/>
          <w:noProof/>
          <w:sz w:val="18"/>
          <w:szCs w:val="18"/>
        </w:rPr>
        <w:drawing>
          <wp:inline distT="0" distB="0" distL="0" distR="0">
            <wp:extent cx="243840" cy="190500"/>
            <wp:effectExtent l="19050" t="0" r="3810" b="0"/>
            <wp:docPr id="3" name="Picture 3" descr="Suzette Bridges -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zette Bridges - initials"/>
                    <pic:cNvPicPr>
                      <a:picLocks noChangeAspect="1" noChangeArrowheads="1"/>
                    </pic:cNvPicPr>
                  </pic:nvPicPr>
                  <pic:blipFill>
                    <a:blip r:embed="rId12" cstate="print"/>
                    <a:srcRect/>
                    <a:stretch>
                      <a:fillRect/>
                    </a:stretch>
                  </pic:blipFill>
                  <pic:spPr bwMode="auto">
                    <a:xfrm>
                      <a:off x="0" y="0"/>
                      <a:ext cx="243840" cy="190500"/>
                    </a:xfrm>
                    <a:prstGeom prst="rect">
                      <a:avLst/>
                    </a:prstGeom>
                    <a:noFill/>
                    <a:ln w="9525">
                      <a:noFill/>
                      <a:miter lim="800000"/>
                      <a:headEnd/>
                      <a:tailEnd/>
                    </a:ln>
                  </pic:spPr>
                </pic:pic>
              </a:graphicData>
            </a:graphic>
          </wp:inline>
        </w:drawing>
      </w:r>
    </w:p>
    <w:p w:rsidR="00227AD3" w:rsidRPr="00464DAF" w:rsidRDefault="00227AD3" w:rsidP="00227AD3">
      <w:pPr>
        <w:rPr>
          <w:rFonts w:ascii="Arial" w:hAnsi="Arial" w:cs="Arial"/>
          <w:sz w:val="18"/>
          <w:szCs w:val="18"/>
        </w:rPr>
      </w:pPr>
    </w:p>
    <w:p w:rsidR="00227AD3" w:rsidRPr="00464DAF" w:rsidRDefault="00227AD3" w:rsidP="00227AD3">
      <w:pPr>
        <w:rPr>
          <w:rFonts w:ascii="Arial" w:hAnsi="Arial" w:cs="Arial"/>
          <w:sz w:val="18"/>
          <w:szCs w:val="18"/>
        </w:rPr>
      </w:pPr>
      <w:r w:rsidRPr="00464DAF">
        <w:rPr>
          <w:rFonts w:ascii="Arial" w:hAnsi="Arial" w:cs="Arial"/>
          <w:sz w:val="18"/>
          <w:szCs w:val="18"/>
        </w:rPr>
        <w:t>DATE:</w:t>
      </w:r>
      <w:r w:rsidRPr="00464DAF">
        <w:rPr>
          <w:rFonts w:ascii="Arial" w:hAnsi="Arial" w:cs="Arial"/>
          <w:sz w:val="18"/>
          <w:szCs w:val="18"/>
        </w:rPr>
        <w:tab/>
      </w:r>
      <w:r w:rsidRPr="00464DAF">
        <w:rPr>
          <w:rFonts w:ascii="Arial" w:hAnsi="Arial" w:cs="Arial"/>
          <w:sz w:val="18"/>
          <w:szCs w:val="18"/>
        </w:rPr>
        <w:tab/>
      </w:r>
      <w:r w:rsidR="00260FF1">
        <w:rPr>
          <w:rFonts w:ascii="Arial" w:hAnsi="Arial" w:cs="Arial"/>
          <w:sz w:val="18"/>
          <w:szCs w:val="18"/>
        </w:rPr>
        <w:t>May 2</w:t>
      </w:r>
      <w:r w:rsidR="00DF3CD2">
        <w:rPr>
          <w:rFonts w:ascii="Arial" w:hAnsi="Arial" w:cs="Arial"/>
          <w:sz w:val="18"/>
          <w:szCs w:val="18"/>
        </w:rPr>
        <w:t>1</w:t>
      </w:r>
      <w:r w:rsidR="002D5490" w:rsidRPr="00260FF1">
        <w:rPr>
          <w:rFonts w:ascii="Arial" w:hAnsi="Arial" w:cs="Arial"/>
          <w:sz w:val="18"/>
          <w:szCs w:val="18"/>
        </w:rPr>
        <w:t>, 2014</w:t>
      </w:r>
    </w:p>
    <w:p w:rsidR="00227AD3" w:rsidRPr="00464DAF" w:rsidRDefault="00227AD3" w:rsidP="00227AD3">
      <w:pPr>
        <w:ind w:left="1440" w:hanging="1440"/>
        <w:rPr>
          <w:rFonts w:ascii="Arial" w:hAnsi="Arial" w:cs="Arial"/>
          <w:sz w:val="18"/>
          <w:szCs w:val="18"/>
        </w:rPr>
      </w:pPr>
    </w:p>
    <w:p w:rsidR="00227AD3" w:rsidRDefault="00227AD3" w:rsidP="00227AD3">
      <w:pPr>
        <w:ind w:left="1440" w:hanging="1440"/>
        <w:rPr>
          <w:rFonts w:ascii="Arial" w:hAnsi="Arial" w:cs="Arial"/>
          <w:sz w:val="18"/>
          <w:szCs w:val="18"/>
        </w:rPr>
      </w:pPr>
      <w:r w:rsidRPr="00464DAF">
        <w:rPr>
          <w:rFonts w:ascii="Arial" w:hAnsi="Arial" w:cs="Arial"/>
          <w:sz w:val="18"/>
          <w:szCs w:val="18"/>
        </w:rPr>
        <w:t>SUBJ:</w:t>
      </w:r>
      <w:r w:rsidRPr="00464DAF">
        <w:rPr>
          <w:rFonts w:ascii="Arial" w:hAnsi="Arial" w:cs="Arial"/>
          <w:sz w:val="18"/>
          <w:szCs w:val="18"/>
        </w:rPr>
        <w:tab/>
      </w:r>
      <w:r w:rsidRPr="00464DAF">
        <w:rPr>
          <w:rFonts w:ascii="Arial" w:hAnsi="Arial" w:cs="Arial"/>
          <w:b/>
          <w:sz w:val="18"/>
          <w:szCs w:val="18"/>
        </w:rPr>
        <w:t>AR Medicaid</w:t>
      </w:r>
      <w:r w:rsidRPr="00464DAF">
        <w:rPr>
          <w:rFonts w:ascii="Arial" w:hAnsi="Arial" w:cs="Arial"/>
          <w:sz w:val="18"/>
          <w:szCs w:val="18"/>
        </w:rPr>
        <w:t xml:space="preserve"> </w:t>
      </w:r>
      <w:r w:rsidRPr="00464DAF">
        <w:rPr>
          <w:rFonts w:ascii="Arial" w:hAnsi="Arial" w:cs="Arial"/>
          <w:b/>
          <w:sz w:val="18"/>
          <w:szCs w:val="18"/>
        </w:rPr>
        <w:t xml:space="preserve">DUR Board edits approved at the </w:t>
      </w:r>
      <w:r w:rsidR="00566FE1">
        <w:rPr>
          <w:rFonts w:ascii="Arial" w:hAnsi="Arial" w:cs="Arial"/>
          <w:b/>
          <w:sz w:val="18"/>
          <w:szCs w:val="18"/>
        </w:rPr>
        <w:t>April 16</w:t>
      </w:r>
      <w:r w:rsidRPr="00464DAF">
        <w:rPr>
          <w:rFonts w:ascii="Arial" w:hAnsi="Arial" w:cs="Arial"/>
          <w:b/>
          <w:sz w:val="18"/>
          <w:szCs w:val="18"/>
        </w:rPr>
        <w:t>, 201</w:t>
      </w:r>
      <w:r w:rsidR="00B167DF" w:rsidRPr="00464DAF">
        <w:rPr>
          <w:rFonts w:ascii="Arial" w:hAnsi="Arial" w:cs="Arial"/>
          <w:b/>
          <w:sz w:val="18"/>
          <w:szCs w:val="18"/>
        </w:rPr>
        <w:t>4</w:t>
      </w:r>
      <w:r w:rsidRPr="00464DAF">
        <w:rPr>
          <w:rFonts w:ascii="Arial" w:hAnsi="Arial" w:cs="Arial"/>
          <w:b/>
          <w:sz w:val="18"/>
          <w:szCs w:val="18"/>
        </w:rPr>
        <w:t xml:space="preserve"> meeting:</w:t>
      </w:r>
    </w:p>
    <w:p w:rsidR="00112CE4" w:rsidRPr="00464DAF" w:rsidRDefault="00112CE4" w:rsidP="00112CE4">
      <w:pPr>
        <w:tabs>
          <w:tab w:val="left" w:pos="1440"/>
        </w:tabs>
        <w:ind w:left="1440" w:hanging="1440"/>
        <w:rPr>
          <w:rFonts w:ascii="Arial" w:hAnsi="Arial" w:cs="Arial"/>
          <w:sz w:val="18"/>
          <w:szCs w:val="18"/>
        </w:rPr>
      </w:pPr>
      <w:r>
        <w:rPr>
          <w:rFonts w:ascii="Arial" w:hAnsi="Arial" w:cs="Arial"/>
          <w:sz w:val="18"/>
          <w:szCs w:val="18"/>
        </w:rPr>
        <w:tab/>
      </w:r>
    </w:p>
    <w:p w:rsidR="00553694" w:rsidRDefault="00112CE4" w:rsidP="00112CE4">
      <w:pPr>
        <w:tabs>
          <w:tab w:val="left" w:pos="1486"/>
        </w:tabs>
        <w:ind w:left="1440" w:hanging="1440"/>
        <w:rPr>
          <w:rFonts w:ascii="Arial" w:hAnsi="Arial" w:cs="Arial"/>
          <w:sz w:val="18"/>
          <w:szCs w:val="18"/>
        </w:rPr>
      </w:pPr>
      <w:r>
        <w:rPr>
          <w:rFonts w:ascii="Arial" w:hAnsi="Arial" w:cs="Arial"/>
          <w:sz w:val="18"/>
          <w:szCs w:val="18"/>
        </w:rPr>
        <w:tab/>
      </w:r>
      <w:r w:rsidRPr="00464DAF">
        <w:rPr>
          <w:rFonts w:ascii="Arial" w:hAnsi="Arial" w:cs="Arial"/>
          <w:b/>
          <w:sz w:val="18"/>
          <w:szCs w:val="18"/>
          <w:u w:val="single"/>
        </w:rPr>
        <w:t xml:space="preserve">Changes To Existing </w:t>
      </w:r>
      <w:r>
        <w:rPr>
          <w:rFonts w:ascii="Arial" w:hAnsi="Arial" w:cs="Arial"/>
          <w:b/>
          <w:sz w:val="18"/>
          <w:szCs w:val="18"/>
          <w:u w:val="single"/>
        </w:rPr>
        <w:t>Prior Authorization (PA)</w:t>
      </w:r>
      <w:r w:rsidRPr="00464DAF">
        <w:rPr>
          <w:rFonts w:ascii="Arial" w:hAnsi="Arial" w:cs="Arial"/>
          <w:b/>
          <w:sz w:val="18"/>
          <w:szCs w:val="18"/>
          <w:u w:val="single"/>
        </w:rPr>
        <w:t xml:space="preserve"> Criteria Or Edits</w:t>
      </w:r>
      <w:r>
        <w:rPr>
          <w:rFonts w:ascii="Arial" w:hAnsi="Arial" w:cs="Arial"/>
          <w:b/>
          <w:sz w:val="18"/>
          <w:szCs w:val="18"/>
          <w:u w:val="single"/>
        </w:rPr>
        <w:t xml:space="preserve">: </w:t>
      </w:r>
      <w:r w:rsidRPr="00112CE4">
        <w:rPr>
          <w:rFonts w:ascii="Arial" w:hAnsi="Arial" w:cs="Arial"/>
          <w:sz w:val="18"/>
          <w:szCs w:val="18"/>
        </w:rPr>
        <w:t>C-II stimulants</w:t>
      </w:r>
      <w:r w:rsidR="00553694">
        <w:rPr>
          <w:rFonts w:ascii="Arial" w:hAnsi="Arial" w:cs="Arial"/>
          <w:sz w:val="18"/>
          <w:szCs w:val="18"/>
        </w:rPr>
        <w:t xml:space="preserve">; </w:t>
      </w:r>
      <w:r w:rsidR="00CC67E3" w:rsidRPr="00CC67E3">
        <w:rPr>
          <w:rFonts w:ascii="Arial" w:hAnsi="Arial" w:cs="Arial"/>
          <w:sz w:val="18"/>
          <w:szCs w:val="18"/>
        </w:rPr>
        <w:t>Cuvposa® (glycopyrrolate) oral solution</w:t>
      </w:r>
      <w:r w:rsidR="00AA40D6">
        <w:rPr>
          <w:rFonts w:ascii="Arial" w:hAnsi="Arial" w:cs="Arial"/>
          <w:sz w:val="18"/>
          <w:szCs w:val="18"/>
        </w:rPr>
        <w:t xml:space="preserve">; </w:t>
      </w:r>
      <w:r w:rsidR="00553694" w:rsidRPr="00553694">
        <w:rPr>
          <w:rFonts w:ascii="Arial" w:hAnsi="Arial" w:cs="Arial"/>
          <w:sz w:val="18"/>
          <w:szCs w:val="18"/>
        </w:rPr>
        <w:t xml:space="preserve">Noxafil® (posaconazole) </w:t>
      </w:r>
      <w:r w:rsidR="00553694">
        <w:rPr>
          <w:rFonts w:ascii="Arial" w:hAnsi="Arial" w:cs="Arial"/>
          <w:sz w:val="18"/>
          <w:szCs w:val="18"/>
        </w:rPr>
        <w:t>oral suspension;</w:t>
      </w:r>
      <w:r w:rsidR="00AA40D6">
        <w:rPr>
          <w:rFonts w:ascii="Arial" w:hAnsi="Arial" w:cs="Arial"/>
          <w:sz w:val="18"/>
          <w:szCs w:val="18"/>
        </w:rPr>
        <w:t xml:space="preserve"> Proton Pump Inhibitors (PPI)</w:t>
      </w:r>
    </w:p>
    <w:p w:rsidR="00553694" w:rsidRPr="00464DAF" w:rsidRDefault="00553694" w:rsidP="00112CE4">
      <w:pPr>
        <w:tabs>
          <w:tab w:val="left" w:pos="1486"/>
        </w:tabs>
        <w:ind w:left="1440" w:hanging="1440"/>
        <w:rPr>
          <w:rFonts w:ascii="Arial" w:hAnsi="Arial" w:cs="Arial"/>
          <w:sz w:val="18"/>
          <w:szCs w:val="18"/>
        </w:rPr>
      </w:pPr>
    </w:p>
    <w:p w:rsidR="00603397" w:rsidRDefault="00553694" w:rsidP="00553694">
      <w:pPr>
        <w:tabs>
          <w:tab w:val="left" w:pos="1486"/>
        </w:tabs>
        <w:ind w:left="1440" w:hanging="1440"/>
        <w:rPr>
          <w:rFonts w:ascii="Arial" w:hAnsi="Arial" w:cs="Arial"/>
          <w:sz w:val="18"/>
          <w:szCs w:val="18"/>
        </w:rPr>
      </w:pPr>
      <w:r w:rsidRPr="00553694">
        <w:rPr>
          <w:rFonts w:ascii="Arial" w:hAnsi="Arial" w:cs="Arial"/>
          <w:b/>
          <w:sz w:val="18"/>
          <w:szCs w:val="18"/>
        </w:rPr>
        <w:tab/>
      </w:r>
      <w:r w:rsidR="00227AD3" w:rsidRPr="00553694">
        <w:rPr>
          <w:rFonts w:ascii="Arial" w:hAnsi="Arial" w:cs="Arial"/>
          <w:b/>
          <w:sz w:val="18"/>
          <w:szCs w:val="18"/>
          <w:u w:val="single"/>
        </w:rPr>
        <w:t>Clinical edits through the Manual Review PA Process</w:t>
      </w:r>
      <w:r w:rsidR="00227AD3" w:rsidRPr="00553694">
        <w:rPr>
          <w:rFonts w:ascii="Arial" w:hAnsi="Arial" w:cs="Arial"/>
          <w:b/>
          <w:sz w:val="18"/>
          <w:szCs w:val="18"/>
        </w:rPr>
        <w:t xml:space="preserve">: </w:t>
      </w:r>
      <w:r w:rsidR="00566FE1" w:rsidRPr="00553694">
        <w:rPr>
          <w:rFonts w:ascii="Arial" w:hAnsi="Arial" w:cs="Arial"/>
          <w:sz w:val="18"/>
          <w:szCs w:val="18"/>
        </w:rPr>
        <w:t>Noxafil® (posaconazole) DR tablet and</w:t>
      </w:r>
      <w:r w:rsidR="00566FE1" w:rsidRPr="00566FE1">
        <w:rPr>
          <w:rFonts w:ascii="Arial" w:hAnsi="Arial" w:cs="Arial"/>
          <w:sz w:val="18"/>
          <w:szCs w:val="18"/>
        </w:rPr>
        <w:t xml:space="preserve"> Noxafil</w:t>
      </w:r>
      <w:r w:rsidR="00566FE1">
        <w:rPr>
          <w:rFonts w:ascii="Arial" w:hAnsi="Arial" w:cs="Arial"/>
          <w:sz w:val="18"/>
          <w:szCs w:val="18"/>
        </w:rPr>
        <w:t>®</w:t>
      </w:r>
      <w:r w:rsidR="00566FE1" w:rsidRPr="00566FE1">
        <w:rPr>
          <w:rFonts w:ascii="Arial" w:hAnsi="Arial" w:cs="Arial"/>
          <w:sz w:val="18"/>
          <w:szCs w:val="18"/>
        </w:rPr>
        <w:t xml:space="preserve"> </w:t>
      </w:r>
      <w:r w:rsidR="00566FE1">
        <w:rPr>
          <w:rFonts w:ascii="Arial" w:hAnsi="Arial" w:cs="Arial"/>
          <w:sz w:val="18"/>
          <w:szCs w:val="18"/>
        </w:rPr>
        <w:t>(</w:t>
      </w:r>
      <w:r w:rsidR="00566FE1" w:rsidRPr="00566FE1">
        <w:rPr>
          <w:rFonts w:ascii="Arial" w:hAnsi="Arial" w:cs="Arial"/>
          <w:sz w:val="18"/>
          <w:szCs w:val="18"/>
        </w:rPr>
        <w:t>posaconazole</w:t>
      </w:r>
      <w:r w:rsidR="00AA40D6">
        <w:rPr>
          <w:rFonts w:ascii="Arial" w:hAnsi="Arial" w:cs="Arial"/>
          <w:sz w:val="18"/>
          <w:szCs w:val="18"/>
        </w:rPr>
        <w:t xml:space="preserve">) </w:t>
      </w:r>
      <w:r w:rsidR="00566FE1" w:rsidRPr="00566FE1">
        <w:rPr>
          <w:rFonts w:ascii="Arial" w:hAnsi="Arial" w:cs="Arial"/>
          <w:sz w:val="18"/>
          <w:szCs w:val="18"/>
        </w:rPr>
        <w:t>inj</w:t>
      </w:r>
      <w:r w:rsidR="00566FE1">
        <w:rPr>
          <w:rFonts w:ascii="Arial" w:hAnsi="Arial" w:cs="Arial"/>
          <w:sz w:val="18"/>
          <w:szCs w:val="18"/>
        </w:rPr>
        <w:t>.;</w:t>
      </w:r>
      <w:r>
        <w:rPr>
          <w:rFonts w:ascii="Arial" w:hAnsi="Arial" w:cs="Arial"/>
          <w:sz w:val="18"/>
          <w:szCs w:val="18"/>
        </w:rPr>
        <w:t xml:space="preserve"> </w:t>
      </w:r>
      <w:r w:rsidR="00A000C1" w:rsidRPr="00112CE4">
        <w:rPr>
          <w:rFonts w:ascii="Arial" w:hAnsi="Arial" w:cs="Arial"/>
          <w:sz w:val="18"/>
          <w:szCs w:val="18"/>
        </w:rPr>
        <w:t>glycopyrrolate 0.2 mg/ml vial</w:t>
      </w:r>
      <w:r w:rsidR="00A000C1">
        <w:rPr>
          <w:rFonts w:ascii="Arial" w:hAnsi="Arial" w:cs="Arial"/>
          <w:sz w:val="18"/>
          <w:szCs w:val="18"/>
        </w:rPr>
        <w:t xml:space="preserve">s and </w:t>
      </w:r>
      <w:r w:rsidRPr="00112CE4">
        <w:rPr>
          <w:rFonts w:ascii="Arial" w:hAnsi="Arial" w:cs="Arial"/>
          <w:sz w:val="18"/>
          <w:szCs w:val="18"/>
        </w:rPr>
        <w:t>Cuvposa® (glycopyrrolate) oral solution</w:t>
      </w:r>
      <w:r>
        <w:rPr>
          <w:rFonts w:ascii="Arial" w:hAnsi="Arial" w:cs="Arial"/>
          <w:sz w:val="18"/>
          <w:szCs w:val="18"/>
        </w:rPr>
        <w:t xml:space="preserve">; </w:t>
      </w:r>
      <w:r w:rsidR="00566FE1">
        <w:rPr>
          <w:rFonts w:ascii="Arial" w:hAnsi="Arial" w:cs="Arial"/>
          <w:sz w:val="18"/>
          <w:szCs w:val="18"/>
        </w:rPr>
        <w:t>Sovaldi</w:t>
      </w:r>
      <w:r w:rsidR="00566FE1" w:rsidRPr="00566FE1">
        <w:rPr>
          <w:rFonts w:ascii="Arial" w:hAnsi="Arial" w:cs="Arial"/>
          <w:sz w:val="18"/>
          <w:szCs w:val="18"/>
        </w:rPr>
        <w:t xml:space="preserve">® </w:t>
      </w:r>
      <w:r w:rsidR="00566FE1">
        <w:rPr>
          <w:rFonts w:ascii="Arial" w:hAnsi="Arial" w:cs="Arial"/>
          <w:sz w:val="18"/>
          <w:szCs w:val="18"/>
        </w:rPr>
        <w:t>(sofosbuvir) tablet; Olysio</w:t>
      </w:r>
      <w:r w:rsidR="00566FE1" w:rsidRPr="00566FE1">
        <w:rPr>
          <w:rFonts w:ascii="Arial" w:hAnsi="Arial" w:cs="Arial"/>
          <w:sz w:val="18"/>
          <w:szCs w:val="18"/>
        </w:rPr>
        <w:t>®</w:t>
      </w:r>
      <w:r w:rsidR="00566FE1">
        <w:rPr>
          <w:rFonts w:ascii="Arial" w:hAnsi="Arial" w:cs="Arial"/>
          <w:sz w:val="18"/>
          <w:szCs w:val="18"/>
        </w:rPr>
        <w:t xml:space="preserve"> (simeprevir) capsule; Otrexup® (methotrexate) auto injector; clonidine HCl PF vials; Aptiom® (eslicarbazepine acetate) tablet; Zohydro® (hydrocodone) ER capsule; Fycompa® (perampanel) tablet;</w:t>
      </w:r>
      <w:r w:rsidR="00E4311E">
        <w:rPr>
          <w:rFonts w:ascii="Arial" w:hAnsi="Arial" w:cs="Arial"/>
          <w:sz w:val="18"/>
          <w:szCs w:val="18"/>
        </w:rPr>
        <w:t xml:space="preserve"> Fosrenol® chew tablets</w:t>
      </w:r>
      <w:r w:rsidR="00354BBC">
        <w:rPr>
          <w:rFonts w:ascii="Arial" w:hAnsi="Arial" w:cs="Arial"/>
          <w:sz w:val="18"/>
          <w:szCs w:val="18"/>
        </w:rPr>
        <w:t>;</w:t>
      </w:r>
      <w:r w:rsidR="00E4311E">
        <w:rPr>
          <w:rFonts w:ascii="Arial" w:hAnsi="Arial" w:cs="Arial"/>
          <w:sz w:val="18"/>
          <w:szCs w:val="18"/>
        </w:rPr>
        <w:t xml:space="preserve"> Velphoro® chew tablet; Renvela® powder packets</w:t>
      </w:r>
    </w:p>
    <w:p w:rsidR="002A120A" w:rsidRDefault="002A120A" w:rsidP="00553694">
      <w:pPr>
        <w:tabs>
          <w:tab w:val="left" w:pos="1486"/>
        </w:tabs>
        <w:ind w:left="1440" w:hanging="1440"/>
        <w:rPr>
          <w:rFonts w:ascii="Arial" w:hAnsi="Arial" w:cs="Arial"/>
          <w:sz w:val="18"/>
          <w:szCs w:val="18"/>
        </w:rPr>
      </w:pPr>
    </w:p>
    <w:p w:rsidR="002A120A" w:rsidRDefault="002A120A" w:rsidP="002A120A">
      <w:pPr>
        <w:ind w:left="1440"/>
        <w:rPr>
          <w:rFonts w:ascii="Arial" w:hAnsi="Arial" w:cs="Arial"/>
          <w:sz w:val="18"/>
          <w:szCs w:val="18"/>
        </w:rPr>
      </w:pPr>
      <w:r w:rsidRPr="00464DAF">
        <w:rPr>
          <w:rFonts w:ascii="Arial" w:hAnsi="Arial" w:cs="Arial"/>
          <w:b/>
          <w:sz w:val="18"/>
          <w:szCs w:val="18"/>
          <w:u w:val="single"/>
        </w:rPr>
        <w:t>Clinical edits added through point-of-sale (POS) edit system</w:t>
      </w:r>
      <w:r w:rsidRPr="00464DAF">
        <w:rPr>
          <w:rFonts w:ascii="Arial" w:hAnsi="Arial" w:cs="Arial"/>
          <w:b/>
          <w:sz w:val="18"/>
          <w:szCs w:val="18"/>
        </w:rPr>
        <w:t>:</w:t>
      </w:r>
      <w:r w:rsidRPr="00464DAF">
        <w:rPr>
          <w:rFonts w:ascii="Arial" w:hAnsi="Arial" w:cs="Arial"/>
          <w:sz w:val="18"/>
          <w:szCs w:val="18"/>
        </w:rPr>
        <w:t xml:space="preserve"> </w:t>
      </w:r>
      <w:r w:rsidRPr="00CF5EAC">
        <w:rPr>
          <w:rFonts w:ascii="Arial" w:hAnsi="Arial" w:cs="Arial"/>
          <w:sz w:val="18"/>
          <w:szCs w:val="18"/>
        </w:rPr>
        <w:t>Lupaneta® (leuprolide/norethindrone acet) kit 3.5-5 mg 1 month inj</w:t>
      </w:r>
      <w:r w:rsidR="00D47B5C">
        <w:rPr>
          <w:rFonts w:ascii="Arial" w:hAnsi="Arial" w:cs="Arial"/>
          <w:sz w:val="18"/>
          <w:szCs w:val="18"/>
        </w:rPr>
        <w:t>.</w:t>
      </w:r>
      <w:r w:rsidRPr="00CF5EAC">
        <w:rPr>
          <w:rFonts w:ascii="Arial" w:hAnsi="Arial" w:cs="Arial"/>
          <w:sz w:val="18"/>
          <w:szCs w:val="18"/>
        </w:rPr>
        <w:t xml:space="preserve"> and 11.25-5 mg 3 month inj.</w:t>
      </w:r>
    </w:p>
    <w:p w:rsidR="002A120A" w:rsidRPr="00566FE1" w:rsidRDefault="002A120A" w:rsidP="00553694">
      <w:pPr>
        <w:tabs>
          <w:tab w:val="left" w:pos="1486"/>
        </w:tabs>
        <w:ind w:left="1440" w:hanging="1440"/>
        <w:rPr>
          <w:rFonts w:ascii="Arial" w:hAnsi="Arial" w:cs="Arial"/>
          <w:sz w:val="18"/>
          <w:szCs w:val="18"/>
        </w:rPr>
      </w:pPr>
    </w:p>
    <w:p w:rsidR="00BF6687" w:rsidRPr="00464DAF" w:rsidRDefault="003150F7" w:rsidP="00227AD3">
      <w:pPr>
        <w:ind w:left="1440"/>
        <w:rPr>
          <w:rFonts w:ascii="Arial" w:hAnsi="Arial" w:cs="Arial"/>
          <w:sz w:val="18"/>
          <w:szCs w:val="18"/>
        </w:rPr>
      </w:pPr>
      <w:r w:rsidRPr="00464DAF">
        <w:rPr>
          <w:rFonts w:ascii="Arial" w:hAnsi="Arial" w:cs="Arial"/>
          <w:b/>
          <w:sz w:val="18"/>
          <w:szCs w:val="18"/>
          <w:u w:val="single"/>
        </w:rPr>
        <w:t>AEVCS edits (Dose-op edits, Cumulative Quantity, Daily Dose edits, Age edits, or Gender edits)</w:t>
      </w:r>
      <w:r w:rsidR="00227AD3" w:rsidRPr="00464DAF">
        <w:rPr>
          <w:rFonts w:ascii="Arial" w:hAnsi="Arial" w:cs="Arial"/>
          <w:b/>
          <w:sz w:val="18"/>
          <w:szCs w:val="18"/>
        </w:rPr>
        <w:t>:</w:t>
      </w:r>
      <w:r w:rsidR="00227AD3" w:rsidRPr="00464DAF">
        <w:rPr>
          <w:rFonts w:ascii="Arial" w:hAnsi="Arial" w:cs="Arial"/>
          <w:sz w:val="18"/>
          <w:szCs w:val="18"/>
        </w:rPr>
        <w:t xml:space="preserve"> </w:t>
      </w:r>
      <w:r w:rsidR="00064AB8" w:rsidRPr="00464DAF">
        <w:rPr>
          <w:rFonts w:ascii="Arial" w:hAnsi="Arial" w:cs="Arial"/>
          <w:sz w:val="18"/>
          <w:szCs w:val="18"/>
        </w:rPr>
        <w:t xml:space="preserve">Afinitor® </w:t>
      </w:r>
      <w:r w:rsidR="00566FE1">
        <w:rPr>
          <w:rFonts w:ascii="Arial" w:hAnsi="Arial" w:cs="Arial"/>
          <w:sz w:val="18"/>
          <w:szCs w:val="18"/>
        </w:rPr>
        <w:t>(</w:t>
      </w:r>
      <w:r w:rsidR="00566FE1">
        <w:rPr>
          <w:rFonts w:ascii="Arial" w:hAnsi="Arial" w:cs="Arial"/>
          <w:color w:val="000000"/>
          <w:sz w:val="19"/>
          <w:szCs w:val="19"/>
        </w:rPr>
        <w:t xml:space="preserve">everolimus) </w:t>
      </w:r>
      <w:r w:rsidR="00064AB8" w:rsidRPr="00464DAF">
        <w:rPr>
          <w:rFonts w:ascii="Arial" w:hAnsi="Arial" w:cs="Arial"/>
          <w:sz w:val="18"/>
          <w:szCs w:val="18"/>
        </w:rPr>
        <w:t>disperz</w:t>
      </w:r>
      <w:r w:rsidR="0001662F">
        <w:rPr>
          <w:rFonts w:ascii="Arial" w:hAnsi="Arial" w:cs="Arial"/>
          <w:sz w:val="18"/>
          <w:szCs w:val="18"/>
        </w:rPr>
        <w:t xml:space="preserve"> tablets; Vimpat® </w:t>
      </w:r>
      <w:r w:rsidR="00566FE1">
        <w:rPr>
          <w:rFonts w:ascii="Arial" w:hAnsi="Arial" w:cs="Arial"/>
          <w:sz w:val="18"/>
          <w:szCs w:val="18"/>
        </w:rPr>
        <w:t>(</w:t>
      </w:r>
      <w:r w:rsidR="00566FE1" w:rsidRPr="00566FE1">
        <w:rPr>
          <w:rFonts w:ascii="Arial" w:hAnsi="Arial" w:cs="Arial"/>
          <w:sz w:val="18"/>
          <w:szCs w:val="18"/>
        </w:rPr>
        <w:t>lacosamide</w:t>
      </w:r>
      <w:r w:rsidR="00566FE1">
        <w:rPr>
          <w:rFonts w:ascii="Arial" w:hAnsi="Arial" w:cs="Arial"/>
          <w:sz w:val="18"/>
          <w:szCs w:val="18"/>
        </w:rPr>
        <w:t xml:space="preserve">) </w:t>
      </w:r>
      <w:r w:rsidR="0001662F">
        <w:rPr>
          <w:rFonts w:ascii="Arial" w:hAnsi="Arial" w:cs="Arial"/>
          <w:sz w:val="18"/>
          <w:szCs w:val="18"/>
        </w:rPr>
        <w:t>tablets</w:t>
      </w:r>
    </w:p>
    <w:p w:rsidR="00B167DF" w:rsidRPr="00464DAF" w:rsidRDefault="00B167DF" w:rsidP="00227AD3">
      <w:pPr>
        <w:ind w:left="1440"/>
        <w:rPr>
          <w:rFonts w:ascii="Arial" w:hAnsi="Arial" w:cs="Arial"/>
          <w:sz w:val="18"/>
          <w:szCs w:val="18"/>
        </w:rPr>
      </w:pPr>
    </w:p>
    <w:p w:rsidR="00227AD3" w:rsidRPr="00464DAF" w:rsidRDefault="00227AD3" w:rsidP="00227AD3">
      <w:pPr>
        <w:ind w:left="360"/>
      </w:pPr>
      <w:r w:rsidRPr="00464DAF">
        <w:rPr>
          <w:rFonts w:ascii="Arial" w:hAnsi="Arial" w:cs="Arial"/>
          <w:sz w:val="18"/>
          <w:szCs w:val="18"/>
        </w:rPr>
        <w:t xml:space="preserve">All criteria for the point of sale (POS) clinical edits can be viewed on the Medicaid website at </w:t>
      </w:r>
      <w:hyperlink r:id="rId13" w:history="1">
        <w:r w:rsidRPr="00464DAF">
          <w:rPr>
            <w:rStyle w:val="Hyperlink"/>
            <w:rFonts w:ascii="Arial" w:hAnsi="Arial" w:cs="Arial"/>
            <w:sz w:val="18"/>
            <w:szCs w:val="18"/>
          </w:rPr>
          <w:t>https://www.medicaid.state.ar.us/Download/provider/pharm/PACriteria.pdf</w:t>
        </w:r>
      </w:hyperlink>
      <w:r w:rsidRPr="00464DAF">
        <w:t>.</w:t>
      </w:r>
    </w:p>
    <w:p w:rsidR="00227AD3" w:rsidRPr="00464DAF" w:rsidRDefault="00227AD3" w:rsidP="00227AD3">
      <w:pPr>
        <w:ind w:left="720"/>
        <w:rPr>
          <w:rFonts w:ascii="Arial" w:hAnsi="Arial" w:cs="Arial"/>
          <w:sz w:val="18"/>
          <w:szCs w:val="18"/>
        </w:rPr>
      </w:pPr>
    </w:p>
    <w:p w:rsidR="00227AD3" w:rsidRPr="00464DAF" w:rsidRDefault="00227AD3" w:rsidP="00227AD3">
      <w:pPr>
        <w:ind w:left="360"/>
        <w:rPr>
          <w:rFonts w:ascii="Arial" w:hAnsi="Arial" w:cs="Arial"/>
          <w:sz w:val="18"/>
          <w:szCs w:val="18"/>
        </w:rPr>
      </w:pPr>
      <w:r w:rsidRPr="00464DAF">
        <w:rPr>
          <w:rFonts w:ascii="Arial" w:hAnsi="Arial" w:cs="Arial"/>
          <w:sz w:val="18"/>
          <w:szCs w:val="18"/>
        </w:rPr>
        <w:t xml:space="preserve">All drug claim edits, such as quantity edits, dose edits, age edits, or gender edits, can be viewed on the Medicaid website at </w:t>
      </w:r>
      <w:hyperlink r:id="rId14" w:history="1">
        <w:r w:rsidRPr="00464DAF">
          <w:rPr>
            <w:rStyle w:val="Hyperlink"/>
            <w:rFonts w:ascii="Arial" w:hAnsi="Arial" w:cs="Arial"/>
            <w:sz w:val="18"/>
            <w:szCs w:val="18"/>
          </w:rPr>
          <w:t>https://www.medicaid.state.ar.us/Download/provider/pharm/ClaimEdits.xls</w:t>
        </w:r>
      </w:hyperlink>
      <w:r w:rsidRPr="00464DAF">
        <w:rPr>
          <w:rFonts w:ascii="Arial" w:hAnsi="Arial" w:cs="Arial"/>
          <w:sz w:val="18"/>
          <w:szCs w:val="18"/>
        </w:rPr>
        <w:t>.</w:t>
      </w:r>
    </w:p>
    <w:p w:rsidR="007A5869" w:rsidRPr="00464DAF" w:rsidRDefault="00F57C37" w:rsidP="00C25E44">
      <w:pPr>
        <w:pStyle w:val="ListParagraph"/>
        <w:autoSpaceDE w:val="0"/>
        <w:autoSpaceDN w:val="0"/>
        <w:adjustRightInd w:val="0"/>
        <w:ind w:left="0"/>
        <w:rPr>
          <w:rFonts w:ascii="Arial" w:hAnsi="Arial" w:cs="Arial"/>
          <w:b/>
          <w:sz w:val="22"/>
          <w:szCs w:val="22"/>
        </w:rPr>
      </w:pPr>
      <w:r>
        <w:rPr>
          <w:noProof/>
        </w:rPr>
        <w:pict>
          <v:shapetype id="_x0000_t202" coordsize="21600,21600" o:spt="202" path="m,l,21600r21600,l21600,xe">
            <v:stroke joinstyle="miter"/>
            <v:path gradientshapeok="t" o:connecttype="rect"/>
          </v:shapetype>
          <v:shape id="Text Box 4" o:spid="_x0000_s1026" type="#_x0000_t202" style="position:absolute;margin-left:4pt;margin-top:12.6pt;width:453.1pt;height:22.25pt;z-index:25165772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" filled="f" strokeweight="1.25pt">
            <v:textbox style="mso-fit-shape-to-text:t">
              <w:txbxContent>
                <w:p w:rsidR="00AA40D6" w:rsidRPr="00356343" w:rsidRDefault="00AA40D6" w:rsidP="00566FE1">
                  <w:pPr>
                    <w:pStyle w:val="ListParagraph"/>
                    <w:autoSpaceDE w:val="0"/>
                    <w:autoSpaceDN w:val="0"/>
                    <w:adjustRightInd w:val="0"/>
                    <w:ind w:left="0"/>
                    <w:jc w:val="center"/>
                    <w:rPr>
                      <w:rFonts w:ascii="Arial" w:hAnsi="Arial" w:cs="Arial"/>
                      <w:lang/>
                    </w:rPr>
                  </w:pPr>
                  <w:r w:rsidRPr="00356343">
                    <w:rPr>
                      <w:rFonts w:ascii="Arial" w:hAnsi="Arial" w:cs="Arial"/>
                      <w:b/>
                    </w:rPr>
                    <w:t>ICD-10 implementation deadline has been</w:t>
                  </w:r>
                  <w:r>
                    <w:rPr>
                      <w:rFonts w:ascii="Arial" w:hAnsi="Arial" w:cs="Arial"/>
                      <w:b/>
                    </w:rPr>
                    <w:t xml:space="preserve"> postponed</w:t>
                  </w:r>
                  <w:r w:rsidRPr="00356343">
                    <w:rPr>
                      <w:rFonts w:ascii="Arial" w:hAnsi="Arial" w:cs="Arial"/>
                      <w:b/>
                    </w:rPr>
                    <w:t xml:space="preserve"> by CMS to Oct. 1, 2015.</w:t>
                  </w:r>
                </w:p>
              </w:txbxContent>
            </v:textbox>
            <w10:wrap type="square"/>
          </v:shape>
        </w:pict>
      </w:r>
    </w:p>
    <w:p w:rsidR="00227AD3" w:rsidRDefault="00227AD3" w:rsidP="0066310C">
      <w:pPr>
        <w:pStyle w:val="ListParagraph"/>
        <w:autoSpaceDE w:val="0"/>
        <w:autoSpaceDN w:val="0"/>
        <w:adjustRightInd w:val="0"/>
        <w:ind w:left="0"/>
        <w:rPr>
          <w:rFonts w:ascii="Arial" w:hAnsi="Arial" w:cs="Arial"/>
          <w:b/>
          <w:sz w:val="18"/>
          <w:szCs w:val="18"/>
        </w:rPr>
      </w:pPr>
      <w:r w:rsidRPr="00464DAF">
        <w:rPr>
          <w:rFonts w:ascii="Arial" w:hAnsi="Arial" w:cs="Arial"/>
          <w:b/>
          <w:sz w:val="22"/>
          <w:szCs w:val="22"/>
        </w:rPr>
        <w:t xml:space="preserve">The following edits will be effective </w:t>
      </w:r>
      <w:r w:rsidR="00B37F07">
        <w:rPr>
          <w:rFonts w:ascii="Arial" w:hAnsi="Arial" w:cs="Arial"/>
          <w:b/>
          <w:sz w:val="22"/>
          <w:szCs w:val="22"/>
        </w:rPr>
        <w:t>July 8</w:t>
      </w:r>
      <w:r w:rsidR="00612787" w:rsidRPr="00464DAF">
        <w:rPr>
          <w:rFonts w:ascii="Arial" w:hAnsi="Arial" w:cs="Arial"/>
          <w:b/>
          <w:sz w:val="22"/>
          <w:szCs w:val="22"/>
        </w:rPr>
        <w:t>,</w:t>
      </w:r>
      <w:r w:rsidRPr="00464DAF">
        <w:rPr>
          <w:rFonts w:ascii="Arial" w:hAnsi="Arial" w:cs="Arial"/>
          <w:b/>
          <w:sz w:val="22"/>
          <w:szCs w:val="22"/>
        </w:rPr>
        <w:t xml:space="preserve"> 201</w:t>
      </w:r>
      <w:r w:rsidR="00612787" w:rsidRPr="00464DAF">
        <w:rPr>
          <w:rFonts w:ascii="Arial" w:hAnsi="Arial" w:cs="Arial"/>
          <w:b/>
          <w:sz w:val="22"/>
          <w:szCs w:val="22"/>
        </w:rPr>
        <w:t>4</w:t>
      </w:r>
      <w:r w:rsidRPr="00464DAF">
        <w:rPr>
          <w:rFonts w:ascii="Arial" w:hAnsi="Arial" w:cs="Arial"/>
          <w:b/>
          <w:sz w:val="22"/>
          <w:szCs w:val="22"/>
        </w:rPr>
        <w:t xml:space="preserve"> unless otherwise stated</w:t>
      </w:r>
      <w:r w:rsidR="00AA40D6">
        <w:rPr>
          <w:rFonts w:ascii="Arial" w:hAnsi="Arial" w:cs="Arial"/>
          <w:b/>
          <w:sz w:val="18"/>
          <w:szCs w:val="18"/>
        </w:rPr>
        <w:t>.</w:t>
      </w:r>
    </w:p>
    <w:p w:rsidR="00AB114B" w:rsidRPr="00AB114B" w:rsidRDefault="00AB114B" w:rsidP="00AB114B">
      <w:pPr>
        <w:jc w:val="center"/>
        <w:rPr>
          <w:rFonts w:ascii="Arial" w:hAnsi="Arial" w:cs="Arial"/>
          <w:sz w:val="18"/>
          <w:szCs w:val="18"/>
        </w:rPr>
      </w:pPr>
      <w:r w:rsidRPr="00AB114B">
        <w:rPr>
          <w:rFonts w:ascii="Arial" w:hAnsi="Arial" w:cs="Arial"/>
          <w:sz w:val="18"/>
          <w:szCs w:val="18"/>
        </w:rPr>
        <w:t xml:space="preserve">(Reimbursement rates listed </w:t>
      </w:r>
      <w:r w:rsidR="00112CE4">
        <w:rPr>
          <w:rFonts w:ascii="Arial" w:hAnsi="Arial" w:cs="Arial"/>
          <w:sz w:val="18"/>
          <w:szCs w:val="18"/>
        </w:rPr>
        <w:t>in this memo</w:t>
      </w:r>
      <w:r w:rsidRPr="00AB114B">
        <w:rPr>
          <w:rFonts w:ascii="Arial" w:hAnsi="Arial" w:cs="Arial"/>
          <w:sz w:val="18"/>
          <w:szCs w:val="18"/>
        </w:rPr>
        <w:t xml:space="preserve"> have been rounded to 2 decimals)</w:t>
      </w:r>
    </w:p>
    <w:p w:rsidR="00AB114B" w:rsidRPr="00464DAF" w:rsidRDefault="00AB114B" w:rsidP="00227AD3">
      <w:pPr>
        <w:pStyle w:val="ListParagraph"/>
        <w:autoSpaceDE w:val="0"/>
        <w:autoSpaceDN w:val="0"/>
        <w:adjustRightInd w:val="0"/>
        <w:ind w:left="0"/>
        <w:rPr>
          <w:rFonts w:ascii="Arial" w:hAnsi="Arial" w:cs="Arial"/>
          <w:b/>
          <w:sz w:val="18"/>
          <w:szCs w:val="18"/>
        </w:rPr>
      </w:pPr>
    </w:p>
    <w:p w:rsidR="003660B8" w:rsidRPr="00547FCD" w:rsidRDefault="003660B8" w:rsidP="00CD3DEF">
      <w:pPr>
        <w:pStyle w:val="ListParagraph"/>
        <w:numPr>
          <w:ilvl w:val="0"/>
          <w:numId w:val="6"/>
        </w:numPr>
        <w:rPr>
          <w:rFonts w:ascii="Arial" w:hAnsi="Arial" w:cs="Arial"/>
          <w:sz w:val="18"/>
          <w:szCs w:val="18"/>
        </w:rPr>
      </w:pPr>
      <w:r w:rsidRPr="00464DAF">
        <w:rPr>
          <w:rFonts w:ascii="Arial" w:hAnsi="Arial" w:cs="Arial"/>
          <w:b/>
          <w:sz w:val="18"/>
          <w:szCs w:val="18"/>
          <w:u w:val="single"/>
        </w:rPr>
        <w:t xml:space="preserve">CHANGES TO EXISTING </w:t>
      </w:r>
      <w:r w:rsidR="00741478">
        <w:rPr>
          <w:rFonts w:ascii="Arial" w:hAnsi="Arial" w:cs="Arial"/>
          <w:b/>
          <w:sz w:val="18"/>
          <w:szCs w:val="18"/>
          <w:u w:val="single"/>
        </w:rPr>
        <w:t>PRIOR AUTHORIZATION (PA)</w:t>
      </w:r>
      <w:r w:rsidRPr="00464DAF">
        <w:rPr>
          <w:rFonts w:ascii="Arial" w:hAnsi="Arial" w:cs="Arial"/>
          <w:b/>
          <w:sz w:val="18"/>
          <w:szCs w:val="18"/>
          <w:u w:val="single"/>
        </w:rPr>
        <w:t xml:space="preserve"> CRITERIA OR EDITS</w:t>
      </w:r>
      <w:r w:rsidR="00AA40D6">
        <w:rPr>
          <w:rFonts w:ascii="Arial" w:hAnsi="Arial" w:cs="Arial"/>
          <w:b/>
          <w:sz w:val="18"/>
          <w:szCs w:val="18"/>
        </w:rPr>
        <w:t>:</w:t>
      </w:r>
    </w:p>
    <w:p w:rsidR="00547FCD" w:rsidRPr="00464DAF" w:rsidRDefault="00547FCD" w:rsidP="00547FCD">
      <w:pPr>
        <w:pStyle w:val="ListParagraph"/>
        <w:rPr>
          <w:rFonts w:ascii="Arial" w:hAnsi="Arial" w:cs="Arial"/>
          <w:sz w:val="18"/>
          <w:szCs w:val="18"/>
        </w:rPr>
      </w:pPr>
    </w:p>
    <w:p w:rsidR="00F3711F" w:rsidRPr="00741478" w:rsidRDefault="00AA40D6" w:rsidP="008D2077">
      <w:pPr>
        <w:pStyle w:val="ListParagraph"/>
        <w:numPr>
          <w:ilvl w:val="1"/>
          <w:numId w:val="6"/>
        </w:numPr>
        <w:rPr>
          <w:rFonts w:ascii="Arial" w:hAnsi="Arial" w:cs="Arial"/>
          <w:b/>
          <w:i/>
          <w:sz w:val="18"/>
          <w:szCs w:val="18"/>
          <w:u w:val="single"/>
        </w:rPr>
      </w:pPr>
      <w:r>
        <w:rPr>
          <w:rFonts w:ascii="Arial" w:hAnsi="Arial" w:cs="Arial"/>
          <w:b/>
          <w:sz w:val="18"/>
          <w:szCs w:val="18"/>
          <w:u w:val="single"/>
        </w:rPr>
        <w:t>C-II Stimulants</w:t>
      </w:r>
    </w:p>
    <w:p w:rsidR="007C7486" w:rsidRDefault="007C7486" w:rsidP="00F3711F">
      <w:pPr>
        <w:pStyle w:val="ListParagraph"/>
        <w:ind w:left="1440"/>
        <w:rPr>
          <w:rFonts w:ascii="Arial" w:hAnsi="Arial" w:cs="Arial"/>
          <w:sz w:val="18"/>
          <w:szCs w:val="18"/>
        </w:rPr>
      </w:pPr>
      <w:r>
        <w:rPr>
          <w:rFonts w:ascii="Arial" w:hAnsi="Arial" w:cs="Arial"/>
          <w:sz w:val="18"/>
          <w:szCs w:val="18"/>
        </w:rPr>
        <w:t>The C-II Stimulants belong to a drug class that is included on the Medi</w:t>
      </w:r>
      <w:r w:rsidR="00AA40D6">
        <w:rPr>
          <w:rFonts w:ascii="Arial" w:hAnsi="Arial" w:cs="Arial"/>
          <w:sz w:val="18"/>
          <w:szCs w:val="18"/>
        </w:rPr>
        <w:t>caid Preferred Drug List (PDL).</w:t>
      </w:r>
      <w:r>
        <w:rPr>
          <w:rFonts w:ascii="Arial" w:hAnsi="Arial" w:cs="Arial"/>
          <w:sz w:val="18"/>
          <w:szCs w:val="18"/>
        </w:rPr>
        <w:t xml:space="preserve"> Please view the Medicaid website for the PDL list of preferred and non-preferred drugs in this drug class. </w:t>
      </w:r>
      <w:hyperlink r:id="rId15" w:history="1">
        <w:r w:rsidR="003C4C3D" w:rsidRPr="00831A44">
          <w:rPr>
            <w:rStyle w:val="Hyperlink"/>
            <w:rFonts w:ascii="Arial" w:hAnsi="Arial" w:cs="Arial"/>
            <w:sz w:val="18"/>
            <w:szCs w:val="18"/>
          </w:rPr>
          <w:t>https://www.medicaid.state.ar.us/Download/provider/pharm/PDL.xls</w:t>
        </w:r>
      </w:hyperlink>
    </w:p>
    <w:p w:rsidR="007C7486" w:rsidRDefault="007C7486" w:rsidP="00F3711F">
      <w:pPr>
        <w:pStyle w:val="ListParagraph"/>
        <w:ind w:left="1440"/>
        <w:rPr>
          <w:rFonts w:ascii="Arial" w:hAnsi="Arial" w:cs="Arial"/>
          <w:sz w:val="18"/>
          <w:szCs w:val="18"/>
        </w:rPr>
      </w:pPr>
    </w:p>
    <w:p w:rsidR="008D2077" w:rsidRDefault="00F3711F" w:rsidP="00F3711F">
      <w:pPr>
        <w:pStyle w:val="ListParagraph"/>
        <w:ind w:left="1440"/>
        <w:rPr>
          <w:rFonts w:ascii="Arial" w:hAnsi="Arial" w:cs="Arial"/>
          <w:sz w:val="18"/>
          <w:szCs w:val="18"/>
        </w:rPr>
      </w:pPr>
      <w:r w:rsidRPr="00F3711F">
        <w:rPr>
          <w:rFonts w:ascii="Arial" w:hAnsi="Arial" w:cs="Arial"/>
          <w:sz w:val="18"/>
          <w:szCs w:val="18"/>
        </w:rPr>
        <w:t>Maximum</w:t>
      </w:r>
      <w:r w:rsidR="00F61289" w:rsidRPr="00F3711F">
        <w:rPr>
          <w:rFonts w:ascii="Arial" w:hAnsi="Arial" w:cs="Arial"/>
          <w:sz w:val="18"/>
          <w:szCs w:val="18"/>
        </w:rPr>
        <w:t xml:space="preserve"> daily dose and </w:t>
      </w:r>
      <w:r w:rsidR="00356343" w:rsidRPr="00F3711F">
        <w:rPr>
          <w:rFonts w:ascii="Arial" w:hAnsi="Arial" w:cs="Arial"/>
          <w:sz w:val="18"/>
          <w:szCs w:val="18"/>
        </w:rPr>
        <w:t xml:space="preserve">quantity edits </w:t>
      </w:r>
      <w:r w:rsidR="00B62F0F">
        <w:rPr>
          <w:rFonts w:ascii="Arial" w:hAnsi="Arial" w:cs="Arial"/>
          <w:sz w:val="18"/>
          <w:szCs w:val="18"/>
        </w:rPr>
        <w:t xml:space="preserve">for the C-II stimulants </w:t>
      </w:r>
      <w:r w:rsidR="00F61289" w:rsidRPr="00F3711F">
        <w:rPr>
          <w:rFonts w:ascii="Arial" w:hAnsi="Arial" w:cs="Arial"/>
          <w:sz w:val="18"/>
          <w:szCs w:val="18"/>
        </w:rPr>
        <w:t xml:space="preserve">have been revised and </w:t>
      </w:r>
      <w:r w:rsidR="00AA40D6">
        <w:rPr>
          <w:rFonts w:ascii="Arial" w:hAnsi="Arial" w:cs="Arial"/>
          <w:sz w:val="18"/>
          <w:szCs w:val="18"/>
        </w:rPr>
        <w:t>are listed in the chart below.</w:t>
      </w:r>
      <w:r w:rsidR="00356343" w:rsidRPr="00F3711F">
        <w:rPr>
          <w:rFonts w:ascii="Arial" w:hAnsi="Arial" w:cs="Arial"/>
          <w:sz w:val="18"/>
          <w:szCs w:val="18"/>
        </w:rPr>
        <w:t xml:space="preserve"> </w:t>
      </w:r>
      <w:r w:rsidR="00F61289" w:rsidRPr="00F3711F">
        <w:rPr>
          <w:rFonts w:ascii="Arial" w:hAnsi="Arial" w:cs="Arial"/>
          <w:sz w:val="18"/>
          <w:szCs w:val="18"/>
        </w:rPr>
        <w:t xml:space="preserve">In addition to the revised </w:t>
      </w:r>
      <w:r w:rsidR="00741478">
        <w:rPr>
          <w:rFonts w:ascii="Arial" w:hAnsi="Arial" w:cs="Arial"/>
          <w:sz w:val="18"/>
          <w:szCs w:val="18"/>
        </w:rPr>
        <w:t xml:space="preserve">allowed daily </w:t>
      </w:r>
      <w:r w:rsidR="00F61289" w:rsidRPr="00F3711F">
        <w:rPr>
          <w:rFonts w:ascii="Arial" w:hAnsi="Arial" w:cs="Arial"/>
          <w:sz w:val="18"/>
          <w:szCs w:val="18"/>
        </w:rPr>
        <w:t xml:space="preserve">dose and quantity edits, the following </w:t>
      </w:r>
      <w:r w:rsidR="005F2D22">
        <w:rPr>
          <w:rFonts w:ascii="Arial" w:hAnsi="Arial" w:cs="Arial"/>
          <w:sz w:val="18"/>
          <w:szCs w:val="18"/>
        </w:rPr>
        <w:t xml:space="preserve">point-of-sale prior approval </w:t>
      </w:r>
      <w:r w:rsidR="00F61289" w:rsidRPr="00F3711F">
        <w:rPr>
          <w:rFonts w:ascii="Arial" w:hAnsi="Arial" w:cs="Arial"/>
          <w:sz w:val="18"/>
          <w:szCs w:val="18"/>
        </w:rPr>
        <w:t>criteria ha</w:t>
      </w:r>
      <w:r w:rsidRPr="00F3711F">
        <w:rPr>
          <w:rFonts w:ascii="Arial" w:hAnsi="Arial" w:cs="Arial"/>
          <w:sz w:val="18"/>
          <w:szCs w:val="18"/>
        </w:rPr>
        <w:t>ve</w:t>
      </w:r>
      <w:r w:rsidR="00F61289" w:rsidRPr="00F3711F">
        <w:rPr>
          <w:rFonts w:ascii="Arial" w:hAnsi="Arial" w:cs="Arial"/>
          <w:sz w:val="18"/>
          <w:szCs w:val="18"/>
        </w:rPr>
        <w:t xml:space="preserve"> also been revised:</w:t>
      </w:r>
    </w:p>
    <w:p w:rsidR="00CB120C" w:rsidRPr="00F3711F" w:rsidRDefault="00CB120C" w:rsidP="00CB120C">
      <w:pPr>
        <w:pStyle w:val="ListParagraph"/>
        <w:ind w:left="2160"/>
        <w:rPr>
          <w:rFonts w:ascii="Arial" w:hAnsi="Arial" w:cs="Arial"/>
          <w:i/>
          <w:sz w:val="18"/>
          <w:szCs w:val="18"/>
        </w:rPr>
      </w:pPr>
    </w:p>
    <w:p w:rsidR="00F61289" w:rsidRDefault="00564324" w:rsidP="00DD08A6">
      <w:pPr>
        <w:pStyle w:val="ListParagraph"/>
        <w:numPr>
          <w:ilvl w:val="2"/>
          <w:numId w:val="6"/>
        </w:numPr>
        <w:ind w:left="1620"/>
        <w:rPr>
          <w:rFonts w:ascii="Arial" w:hAnsi="Arial" w:cs="Arial"/>
          <w:sz w:val="18"/>
          <w:szCs w:val="18"/>
        </w:rPr>
      </w:pPr>
      <w:r>
        <w:rPr>
          <w:rFonts w:ascii="Arial" w:hAnsi="Arial" w:cs="Arial"/>
          <w:sz w:val="18"/>
          <w:szCs w:val="18"/>
        </w:rPr>
        <w:t xml:space="preserve">The criterion that allows concurrent therapy </w:t>
      </w:r>
      <w:r w:rsidR="00AA40D6">
        <w:rPr>
          <w:rFonts w:ascii="Arial" w:hAnsi="Arial" w:cs="Arial"/>
          <w:sz w:val="18"/>
          <w:szCs w:val="18"/>
        </w:rPr>
        <w:t>for children &lt;</w:t>
      </w:r>
      <w:r w:rsidR="00FE785A">
        <w:rPr>
          <w:rFonts w:ascii="Arial" w:hAnsi="Arial" w:cs="Arial"/>
          <w:sz w:val="18"/>
          <w:szCs w:val="18"/>
        </w:rPr>
        <w:t>18 years of age</w:t>
      </w:r>
      <w:r w:rsidR="00354BBC">
        <w:rPr>
          <w:rFonts w:ascii="Arial" w:hAnsi="Arial" w:cs="Arial"/>
          <w:sz w:val="18"/>
          <w:szCs w:val="18"/>
        </w:rPr>
        <w:t xml:space="preserve"> for both</w:t>
      </w:r>
      <w:r>
        <w:rPr>
          <w:rFonts w:ascii="Arial" w:hAnsi="Arial" w:cs="Arial"/>
          <w:sz w:val="18"/>
          <w:szCs w:val="18"/>
        </w:rPr>
        <w:t xml:space="preserve"> a long-acting agent and a short-acting agent as a “booster” dose has been amended</w:t>
      </w:r>
      <w:r w:rsidR="00CB120C">
        <w:rPr>
          <w:rFonts w:ascii="Arial" w:hAnsi="Arial" w:cs="Arial"/>
          <w:sz w:val="18"/>
          <w:szCs w:val="18"/>
        </w:rPr>
        <w:t xml:space="preserve">. The </w:t>
      </w:r>
      <w:r w:rsidR="00354BBC">
        <w:rPr>
          <w:rFonts w:ascii="Arial" w:hAnsi="Arial" w:cs="Arial"/>
          <w:sz w:val="18"/>
          <w:szCs w:val="18"/>
        </w:rPr>
        <w:t xml:space="preserve">new </w:t>
      </w:r>
      <w:r w:rsidR="00CB120C">
        <w:rPr>
          <w:rFonts w:ascii="Arial" w:hAnsi="Arial" w:cs="Arial"/>
          <w:sz w:val="18"/>
          <w:szCs w:val="18"/>
        </w:rPr>
        <w:t>criterion</w:t>
      </w:r>
      <w:r>
        <w:rPr>
          <w:rFonts w:ascii="Arial" w:hAnsi="Arial" w:cs="Arial"/>
          <w:sz w:val="18"/>
          <w:szCs w:val="18"/>
        </w:rPr>
        <w:t xml:space="preserve"> </w:t>
      </w:r>
      <w:r w:rsidR="00354BBC">
        <w:rPr>
          <w:rFonts w:ascii="Arial" w:hAnsi="Arial" w:cs="Arial"/>
          <w:sz w:val="18"/>
          <w:szCs w:val="18"/>
        </w:rPr>
        <w:t xml:space="preserve">will </w:t>
      </w:r>
      <w:r>
        <w:rPr>
          <w:rFonts w:ascii="Arial" w:hAnsi="Arial" w:cs="Arial"/>
          <w:sz w:val="18"/>
          <w:szCs w:val="18"/>
        </w:rPr>
        <w:t xml:space="preserve">allow </w:t>
      </w:r>
      <w:r w:rsidR="00354BBC">
        <w:rPr>
          <w:rFonts w:ascii="Arial" w:hAnsi="Arial" w:cs="Arial"/>
          <w:sz w:val="18"/>
          <w:szCs w:val="18"/>
        </w:rPr>
        <w:t xml:space="preserve">only </w:t>
      </w:r>
      <w:r>
        <w:rPr>
          <w:rFonts w:ascii="Arial" w:hAnsi="Arial" w:cs="Arial"/>
          <w:sz w:val="18"/>
          <w:szCs w:val="18"/>
        </w:rPr>
        <w:t>one tablet</w:t>
      </w:r>
      <w:r w:rsidR="005F2D22">
        <w:rPr>
          <w:rFonts w:ascii="Arial" w:hAnsi="Arial" w:cs="Arial"/>
          <w:sz w:val="18"/>
          <w:szCs w:val="18"/>
        </w:rPr>
        <w:t xml:space="preserve"> per day for the booster dose </w:t>
      </w:r>
      <w:r>
        <w:rPr>
          <w:rFonts w:ascii="Arial" w:hAnsi="Arial" w:cs="Arial"/>
          <w:sz w:val="18"/>
          <w:szCs w:val="18"/>
        </w:rPr>
        <w:t xml:space="preserve">of the short-acting agent if there is an overlap in the days’ supply between the </w:t>
      </w:r>
      <w:r w:rsidR="00DD08A6">
        <w:rPr>
          <w:rFonts w:ascii="Arial" w:hAnsi="Arial" w:cs="Arial"/>
          <w:sz w:val="18"/>
          <w:szCs w:val="18"/>
        </w:rPr>
        <w:t>long-acting agent and the short-acting</w:t>
      </w:r>
      <w:r w:rsidR="00AA40D6">
        <w:rPr>
          <w:rFonts w:ascii="Arial" w:hAnsi="Arial" w:cs="Arial"/>
          <w:sz w:val="18"/>
          <w:szCs w:val="18"/>
        </w:rPr>
        <w:t xml:space="preserve"> agent.</w:t>
      </w:r>
    </w:p>
    <w:p w:rsidR="00E25D6A" w:rsidRDefault="00B26C68" w:rsidP="00DD08A6">
      <w:pPr>
        <w:pStyle w:val="ListParagraph"/>
        <w:numPr>
          <w:ilvl w:val="2"/>
          <w:numId w:val="6"/>
        </w:numPr>
        <w:ind w:left="1620"/>
        <w:rPr>
          <w:rFonts w:ascii="Arial" w:hAnsi="Arial" w:cs="Arial"/>
          <w:sz w:val="18"/>
          <w:szCs w:val="18"/>
        </w:rPr>
      </w:pPr>
      <w:r>
        <w:rPr>
          <w:rFonts w:ascii="Arial" w:hAnsi="Arial" w:cs="Arial"/>
          <w:sz w:val="18"/>
          <w:szCs w:val="18"/>
        </w:rPr>
        <w:lastRenderedPageBreak/>
        <w:t>F</w:t>
      </w:r>
      <w:r w:rsidRPr="00564324">
        <w:rPr>
          <w:rFonts w:ascii="Arial" w:hAnsi="Arial" w:cs="Arial"/>
          <w:sz w:val="18"/>
          <w:szCs w:val="18"/>
        </w:rPr>
        <w:t>or adolescents age 13 years through 17 years and adults age 18 years and older who meet the adult</w:t>
      </w:r>
      <w:r>
        <w:rPr>
          <w:rFonts w:ascii="Arial" w:hAnsi="Arial" w:cs="Arial"/>
          <w:sz w:val="18"/>
          <w:szCs w:val="18"/>
        </w:rPr>
        <w:t xml:space="preserve"> ADD/ADHD or narcolepsy </w:t>
      </w:r>
      <w:r w:rsidRPr="00564324">
        <w:rPr>
          <w:rFonts w:ascii="Arial" w:hAnsi="Arial" w:cs="Arial"/>
          <w:sz w:val="18"/>
          <w:szCs w:val="18"/>
        </w:rPr>
        <w:t>criteria</w:t>
      </w:r>
      <w:r>
        <w:rPr>
          <w:rFonts w:ascii="Arial" w:hAnsi="Arial" w:cs="Arial"/>
          <w:sz w:val="18"/>
          <w:szCs w:val="18"/>
        </w:rPr>
        <w:t>, a</w:t>
      </w:r>
      <w:r w:rsidR="00E25D6A" w:rsidRPr="00564324">
        <w:rPr>
          <w:rFonts w:ascii="Arial" w:hAnsi="Arial" w:cs="Arial"/>
          <w:sz w:val="18"/>
          <w:szCs w:val="18"/>
        </w:rPr>
        <w:t xml:space="preserve"> once daily dose of 72 mg for methylphenidate extended release tablets (</w:t>
      </w:r>
      <w:r w:rsidR="00DD08A6">
        <w:rPr>
          <w:rFonts w:ascii="Arial" w:hAnsi="Arial" w:cs="Arial"/>
          <w:sz w:val="18"/>
          <w:szCs w:val="18"/>
        </w:rPr>
        <w:t xml:space="preserve">e.g., </w:t>
      </w:r>
      <w:r w:rsidR="00E25D6A" w:rsidRPr="00564324">
        <w:rPr>
          <w:rFonts w:ascii="Arial" w:hAnsi="Arial" w:cs="Arial"/>
          <w:sz w:val="18"/>
          <w:szCs w:val="18"/>
        </w:rPr>
        <w:t>Concerta®) may be requested through the manual review PA process by submitting a letter explaining the medical necessity</w:t>
      </w:r>
      <w:r w:rsidR="00E25D6A">
        <w:rPr>
          <w:rFonts w:ascii="Arial" w:hAnsi="Arial" w:cs="Arial"/>
          <w:sz w:val="18"/>
          <w:szCs w:val="18"/>
        </w:rPr>
        <w:t xml:space="preserve"> </w:t>
      </w:r>
      <w:r w:rsidR="00354BBC">
        <w:rPr>
          <w:rFonts w:ascii="Arial" w:hAnsi="Arial" w:cs="Arial"/>
          <w:sz w:val="18"/>
          <w:szCs w:val="18"/>
        </w:rPr>
        <w:t>for</w:t>
      </w:r>
      <w:r w:rsidR="00E25D6A">
        <w:rPr>
          <w:rFonts w:ascii="Arial" w:hAnsi="Arial" w:cs="Arial"/>
          <w:sz w:val="18"/>
          <w:szCs w:val="18"/>
        </w:rPr>
        <w:t xml:space="preserve"> the high dose</w:t>
      </w:r>
      <w:r w:rsidR="00AA40D6">
        <w:rPr>
          <w:rFonts w:ascii="Arial" w:hAnsi="Arial" w:cs="Arial"/>
          <w:sz w:val="18"/>
          <w:szCs w:val="18"/>
        </w:rPr>
        <w:t>.</w:t>
      </w:r>
    </w:p>
    <w:p w:rsidR="00A831B6" w:rsidRDefault="00A831B6" w:rsidP="00DD08A6">
      <w:pPr>
        <w:pStyle w:val="ListParagraph"/>
        <w:numPr>
          <w:ilvl w:val="2"/>
          <w:numId w:val="6"/>
        </w:numPr>
        <w:ind w:left="1620"/>
        <w:rPr>
          <w:rFonts w:ascii="Arial" w:hAnsi="Arial" w:cs="Arial"/>
          <w:sz w:val="18"/>
          <w:szCs w:val="18"/>
        </w:rPr>
      </w:pPr>
      <w:r>
        <w:rPr>
          <w:rFonts w:ascii="Arial" w:hAnsi="Arial" w:cs="Arial"/>
          <w:sz w:val="18"/>
          <w:szCs w:val="18"/>
        </w:rPr>
        <w:t xml:space="preserve">Focalin IR </w:t>
      </w:r>
      <w:r w:rsidR="005F2D22">
        <w:rPr>
          <w:rFonts w:ascii="Arial" w:hAnsi="Arial" w:cs="Arial"/>
          <w:sz w:val="18"/>
          <w:szCs w:val="18"/>
        </w:rPr>
        <w:t>is</w:t>
      </w:r>
      <w:r>
        <w:rPr>
          <w:rFonts w:ascii="Arial" w:hAnsi="Arial" w:cs="Arial"/>
          <w:sz w:val="18"/>
          <w:szCs w:val="18"/>
        </w:rPr>
        <w:t xml:space="preserve"> included in the criteria with other short-acting </w:t>
      </w:r>
      <w:r w:rsidR="00A72380">
        <w:rPr>
          <w:rFonts w:ascii="Arial" w:hAnsi="Arial" w:cs="Arial"/>
          <w:sz w:val="18"/>
          <w:szCs w:val="18"/>
        </w:rPr>
        <w:t xml:space="preserve">IR formulation </w:t>
      </w:r>
      <w:r>
        <w:rPr>
          <w:rFonts w:ascii="Arial" w:hAnsi="Arial" w:cs="Arial"/>
          <w:sz w:val="18"/>
          <w:szCs w:val="18"/>
        </w:rPr>
        <w:t>C-II stimulants.</w:t>
      </w:r>
    </w:p>
    <w:p w:rsidR="00564324" w:rsidRDefault="00564324" w:rsidP="00DD08A6">
      <w:pPr>
        <w:pStyle w:val="ListParagraph"/>
        <w:numPr>
          <w:ilvl w:val="2"/>
          <w:numId w:val="6"/>
        </w:numPr>
        <w:ind w:left="1620"/>
        <w:rPr>
          <w:rFonts w:ascii="Arial" w:hAnsi="Arial" w:cs="Arial"/>
          <w:sz w:val="18"/>
          <w:szCs w:val="18"/>
        </w:rPr>
      </w:pPr>
      <w:r>
        <w:rPr>
          <w:rFonts w:ascii="Arial" w:hAnsi="Arial" w:cs="Arial"/>
          <w:sz w:val="18"/>
          <w:szCs w:val="18"/>
        </w:rPr>
        <w:t xml:space="preserve">Criteria that were developed to allow for doses that </w:t>
      </w:r>
      <w:r w:rsidR="00354BBC">
        <w:rPr>
          <w:rFonts w:ascii="Arial" w:hAnsi="Arial" w:cs="Arial"/>
          <w:sz w:val="18"/>
          <w:szCs w:val="18"/>
        </w:rPr>
        <w:t>are</w:t>
      </w:r>
      <w:r>
        <w:rPr>
          <w:rFonts w:ascii="Arial" w:hAnsi="Arial" w:cs="Arial"/>
          <w:sz w:val="18"/>
          <w:szCs w:val="18"/>
        </w:rPr>
        <w:t xml:space="preserve"> not commercially available </w:t>
      </w:r>
      <w:r w:rsidR="002336BF">
        <w:rPr>
          <w:rFonts w:ascii="Arial" w:hAnsi="Arial" w:cs="Arial"/>
          <w:sz w:val="18"/>
          <w:szCs w:val="18"/>
        </w:rPr>
        <w:t xml:space="preserve">for Daytrana patch and Adderall XR </w:t>
      </w:r>
      <w:r>
        <w:rPr>
          <w:rFonts w:ascii="Arial" w:hAnsi="Arial" w:cs="Arial"/>
          <w:sz w:val="18"/>
          <w:szCs w:val="18"/>
        </w:rPr>
        <w:t>have been removed.</w:t>
      </w:r>
    </w:p>
    <w:p w:rsidR="005B4785" w:rsidRPr="005F5D4B" w:rsidRDefault="005B4785" w:rsidP="005F5D4B">
      <w:pPr>
        <w:jc w:val="center"/>
        <w:rPr>
          <w:rFonts w:ascii="Arial" w:hAnsi="Arial" w:cs="Arial"/>
          <w:color w:val="000000"/>
          <w:sz w:val="16"/>
          <w:szCs w:val="16"/>
        </w:rPr>
      </w:pPr>
    </w:p>
    <w:tbl>
      <w:tblPr>
        <w:tblpPr w:leftFromText="180" w:rightFromText="180" w:vertAnchor="text" w:horzAnchor="margin" w:tblpXSpec="center" w:tblpY="55"/>
        <w:tblW w:w="9015" w:type="dxa"/>
        <w:tblLayout w:type="fixed"/>
        <w:tblLook w:val="04A0"/>
      </w:tblPr>
      <w:tblGrid>
        <w:gridCol w:w="4965"/>
        <w:gridCol w:w="1260"/>
        <w:gridCol w:w="1170"/>
        <w:gridCol w:w="90"/>
        <w:gridCol w:w="1530"/>
      </w:tblGrid>
      <w:tr w:rsidR="00D4638A" w:rsidRPr="00F61289" w:rsidTr="00DD08A6">
        <w:trPr>
          <w:trHeight w:val="250"/>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D4638A" w:rsidRPr="00F61289" w:rsidRDefault="00D4638A" w:rsidP="00DD08A6">
            <w:pPr>
              <w:jc w:val="center"/>
              <w:rPr>
                <w:rFonts w:ascii="Arial Black" w:hAnsi="Arial Black"/>
                <w:b/>
                <w:bCs/>
                <w:color w:val="000000"/>
                <w:sz w:val="20"/>
                <w:szCs w:val="20"/>
              </w:rPr>
            </w:pPr>
            <w:r w:rsidRPr="00F61289">
              <w:rPr>
                <w:rFonts w:ascii="Arial Black" w:hAnsi="Arial Black"/>
                <w:b/>
                <w:bCs/>
                <w:color w:val="000000"/>
                <w:sz w:val="20"/>
                <w:szCs w:val="20"/>
              </w:rPr>
              <w:t>Amphetamine Salts, Dex-Amphetamine, and Lis-dexamfetamine Agents</w:t>
            </w:r>
          </w:p>
        </w:tc>
      </w:tr>
      <w:tr w:rsidR="00D4638A" w:rsidRPr="00F61289" w:rsidTr="00DD08A6">
        <w:trPr>
          <w:trHeight w:val="196"/>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 xml:space="preserve">Immediate Release Amphetamine Salts </w:t>
            </w:r>
            <w:r w:rsidR="00AA40D6">
              <w:rPr>
                <w:rFonts w:ascii="Arial" w:hAnsi="Arial" w:cs="Arial"/>
                <w:b/>
                <w:bCs/>
                <w:color w:val="000000"/>
                <w:sz w:val="16"/>
                <w:szCs w:val="16"/>
              </w:rPr>
              <w:t>Medicaid Max Daily Dose = 40 mg</w:t>
            </w:r>
          </w:p>
        </w:tc>
      </w:tr>
      <w:tr w:rsidR="00D4638A" w:rsidRPr="00F61289" w:rsidTr="00DD08A6">
        <w:trPr>
          <w:trHeight w:val="49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E87984">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 xml:space="preserve">) </w:t>
            </w:r>
            <w:r w:rsidRPr="00F61289">
              <w:rPr>
                <w:rFonts w:ascii="Arial" w:hAnsi="Arial" w:cs="Arial"/>
                <w:color w:val="000000"/>
                <w:sz w:val="16"/>
                <w:szCs w:val="16"/>
              </w:rPr>
              <w:t>5</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11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w:t>
            </w:r>
            <w:r w:rsidRPr="00F61289">
              <w:rPr>
                <w:rFonts w:ascii="Arial" w:hAnsi="Arial" w:cs="Arial"/>
                <w:color w:val="000000"/>
                <w:sz w:val="16"/>
                <w:szCs w:val="16"/>
              </w:rPr>
              <w:t xml:space="preserve"> 7.5</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15 mg</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6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w:t>
            </w:r>
            <w:r w:rsidRPr="00F61289">
              <w:rPr>
                <w:rFonts w:ascii="Arial" w:hAnsi="Arial" w:cs="Arial"/>
                <w:color w:val="000000"/>
                <w:sz w:val="16"/>
                <w:szCs w:val="16"/>
              </w:rPr>
              <w:t xml:space="preserve"> 10</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w:t>
            </w:r>
            <w:r w:rsidRPr="00F61289">
              <w:rPr>
                <w:rFonts w:ascii="Arial" w:hAnsi="Arial" w:cs="Arial"/>
                <w:color w:val="000000"/>
                <w:sz w:val="16"/>
                <w:szCs w:val="16"/>
              </w:rPr>
              <w:t xml:space="preserve"> 12.5</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25 mg</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w:t>
            </w:r>
            <w:r w:rsidRPr="00F61289">
              <w:rPr>
                <w:rFonts w:ascii="Arial" w:hAnsi="Arial" w:cs="Arial"/>
                <w:color w:val="000000"/>
                <w:sz w:val="16"/>
                <w:szCs w:val="16"/>
              </w:rPr>
              <w:t xml:space="preserve"> 15</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w:t>
            </w:r>
            <w:r w:rsidRPr="00F61289">
              <w:rPr>
                <w:rFonts w:ascii="Arial" w:hAnsi="Arial" w:cs="Arial"/>
                <w:color w:val="000000"/>
                <w:sz w:val="16"/>
                <w:szCs w:val="16"/>
              </w:rPr>
              <w:t xml:space="preserve"> 20</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noWrap/>
            <w:vAlign w:val="bottom"/>
            <w:hideMark/>
          </w:tcPr>
          <w:p w:rsidR="00D4638A" w:rsidRPr="00F61289" w:rsidRDefault="008D104C" w:rsidP="00DD08A6">
            <w:pPr>
              <w:jc w:val="center"/>
              <w:rPr>
                <w:rFonts w:ascii="Arial" w:hAnsi="Arial" w:cs="Arial"/>
                <w:color w:val="000000"/>
                <w:sz w:val="16"/>
                <w:szCs w:val="16"/>
              </w:rPr>
            </w:pPr>
            <w:r>
              <w:rPr>
                <w:rFonts w:ascii="Arial" w:hAnsi="Arial" w:cs="Arial"/>
                <w:color w:val="000000"/>
                <w:sz w:val="16"/>
                <w:szCs w:val="16"/>
              </w:rPr>
              <w:t xml:space="preserve">40 </w:t>
            </w:r>
            <w:r w:rsidR="00D4638A" w:rsidRPr="00F61289">
              <w:rPr>
                <w:rFonts w:ascii="Arial" w:hAnsi="Arial" w:cs="Arial"/>
                <w:color w:val="000000"/>
                <w:sz w:val="16"/>
                <w:szCs w:val="16"/>
              </w:rPr>
              <w:t>mg</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56"/>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Pr>
                <w:rFonts w:ascii="Arial" w:hAnsi="Arial" w:cs="Arial"/>
                <w:color w:val="000000"/>
                <w:sz w:val="16"/>
                <w:szCs w:val="16"/>
              </w:rPr>
              <w:t xml:space="preserve">Mixed Amphetamine Salts (e.g., </w:t>
            </w:r>
            <w:r w:rsidRPr="00F61289">
              <w:rPr>
                <w:rFonts w:ascii="Arial" w:hAnsi="Arial" w:cs="Arial"/>
                <w:color w:val="000000"/>
                <w:sz w:val="16"/>
                <w:szCs w:val="16"/>
              </w:rPr>
              <w:t>Adderall</w:t>
            </w:r>
            <w:r>
              <w:rPr>
                <w:rFonts w:ascii="Arial" w:hAnsi="Arial" w:cs="Arial"/>
                <w:color w:val="000000"/>
                <w:sz w:val="16"/>
                <w:szCs w:val="16"/>
              </w:rPr>
              <w:t xml:space="preserve">) </w:t>
            </w:r>
            <w:r w:rsidRPr="00F61289">
              <w:rPr>
                <w:rFonts w:ascii="Arial" w:hAnsi="Arial" w:cs="Arial"/>
                <w:color w:val="000000"/>
                <w:sz w:val="16"/>
                <w:szCs w:val="16"/>
              </w:rPr>
              <w:t>30</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8"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nil"/>
              <w:left w:val="nil"/>
              <w:bottom w:val="single" w:sz="8"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8" w:space="0" w:color="auto"/>
              <w:right w:val="single" w:sz="8"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61"/>
        </w:trPr>
        <w:tc>
          <w:tcPr>
            <w:tcW w:w="9015" w:type="dxa"/>
            <w:gridSpan w:val="5"/>
            <w:tcBorders>
              <w:top w:val="single" w:sz="8" w:space="0" w:color="auto"/>
              <w:left w:val="nil"/>
              <w:bottom w:val="single" w:sz="12" w:space="0" w:color="auto"/>
              <w:right w:val="nil"/>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 </w:t>
            </w:r>
          </w:p>
        </w:tc>
      </w:tr>
      <w:tr w:rsidR="00D4638A" w:rsidRPr="00F61289" w:rsidTr="00DD08A6">
        <w:trPr>
          <w:trHeight w:val="177"/>
        </w:trPr>
        <w:tc>
          <w:tcPr>
            <w:tcW w:w="9015" w:type="dxa"/>
            <w:gridSpan w:val="5"/>
            <w:tcBorders>
              <w:top w:val="nil"/>
              <w:left w:val="single" w:sz="8" w:space="0" w:color="auto"/>
              <w:bottom w:val="single" w:sz="8" w:space="0" w:color="auto"/>
              <w:right w:val="single" w:sz="8" w:space="0" w:color="000000"/>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 xml:space="preserve">Amphetamine Salts EXTENDED RELEASE </w:t>
            </w:r>
            <w:r w:rsidR="00AA40D6">
              <w:rPr>
                <w:rFonts w:ascii="Arial" w:hAnsi="Arial" w:cs="Arial"/>
                <w:b/>
                <w:bCs/>
                <w:color w:val="000000"/>
                <w:sz w:val="16"/>
                <w:szCs w:val="16"/>
              </w:rPr>
              <w:t>Medicaid Max Daily Dose = 30 mg</w:t>
            </w:r>
          </w:p>
        </w:tc>
      </w:tr>
      <w:tr w:rsidR="00D4638A" w:rsidRPr="00F61289" w:rsidTr="00DD08A6">
        <w:trPr>
          <w:trHeight w:val="58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E87984">
            <w:pPr>
              <w:rPr>
                <w:rFonts w:ascii="Arial" w:hAnsi="Arial" w:cs="Arial"/>
                <w:b/>
                <w:bCs/>
                <w:color w:val="000000"/>
                <w:sz w:val="16"/>
                <w:szCs w:val="16"/>
              </w:rPr>
            </w:pPr>
            <w:r>
              <w:rPr>
                <w:rFonts w:ascii="Arial" w:hAnsi="Arial" w:cs="Arial"/>
                <w:b/>
                <w:bCs/>
                <w:color w:val="000000"/>
                <w:sz w:val="16"/>
                <w:szCs w:val="16"/>
              </w:rPr>
              <w:t xml:space="preserve">MEDICAID MONTHLY MAX </w:t>
            </w:r>
            <w:r w:rsidRPr="00F61289">
              <w:rPr>
                <w:rFonts w:ascii="Arial" w:hAnsi="Arial" w:cs="Arial"/>
                <w:b/>
                <w:bCs/>
                <w:color w:val="000000"/>
                <w:sz w:val="16"/>
                <w:szCs w:val="16"/>
              </w:rPr>
              <w:t>CUMULATIVE QTY</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E87984">
            <w:pPr>
              <w:rPr>
                <w:rFonts w:ascii="Arial" w:hAnsi="Arial" w:cs="Arial"/>
                <w:color w:val="000000"/>
                <w:sz w:val="16"/>
                <w:szCs w:val="16"/>
              </w:rPr>
            </w:pPr>
            <w:r>
              <w:rPr>
                <w:rFonts w:ascii="Arial" w:hAnsi="Arial" w:cs="Arial"/>
                <w:color w:val="000000"/>
                <w:sz w:val="16"/>
                <w:szCs w:val="16"/>
              </w:rPr>
              <w:t xml:space="preserve">Adderall XR® </w:t>
            </w:r>
            <w:r w:rsidRPr="00F61289">
              <w:rPr>
                <w:rFonts w:ascii="Arial" w:hAnsi="Arial" w:cs="Arial"/>
                <w:color w:val="000000"/>
                <w:sz w:val="16"/>
                <w:szCs w:val="16"/>
              </w:rPr>
              <w:t>5</w:t>
            </w:r>
            <w:r>
              <w:rPr>
                <w:rFonts w:ascii="Arial" w:hAnsi="Arial" w:cs="Arial"/>
                <w:color w:val="000000"/>
                <w:sz w:val="16"/>
                <w:szCs w:val="16"/>
              </w:rPr>
              <w:t xml:space="preserve"> </w:t>
            </w:r>
            <w:r w:rsidR="00AA40D6">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5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8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 xml:space="preserve">Adderall </w:t>
            </w:r>
            <w:r>
              <w:rPr>
                <w:rFonts w:ascii="Arial" w:hAnsi="Arial" w:cs="Arial"/>
                <w:color w:val="000000"/>
                <w:sz w:val="16"/>
                <w:szCs w:val="16"/>
              </w:rPr>
              <w:t>XR®</w:t>
            </w:r>
            <w:r w:rsidRPr="00F61289">
              <w:rPr>
                <w:rFonts w:ascii="Arial" w:hAnsi="Arial" w:cs="Arial"/>
                <w:color w:val="000000"/>
                <w:sz w:val="16"/>
                <w:szCs w:val="16"/>
              </w:rPr>
              <w:t xml:space="preserve"> 10</w:t>
            </w:r>
            <w:r>
              <w:rPr>
                <w:rFonts w:ascii="Arial" w:hAnsi="Arial" w:cs="Arial"/>
                <w:color w:val="000000"/>
                <w:sz w:val="16"/>
                <w:szCs w:val="16"/>
              </w:rPr>
              <w:t xml:space="preserve"> </w:t>
            </w:r>
            <w:r w:rsidR="00AA40D6">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 xml:space="preserve">Adderall </w:t>
            </w:r>
            <w:r>
              <w:rPr>
                <w:rFonts w:ascii="Arial" w:hAnsi="Arial" w:cs="Arial"/>
                <w:color w:val="000000"/>
                <w:sz w:val="16"/>
                <w:szCs w:val="16"/>
              </w:rPr>
              <w:t>XR®</w:t>
            </w:r>
            <w:r w:rsidRPr="00F61289">
              <w:rPr>
                <w:rFonts w:ascii="Arial" w:hAnsi="Arial" w:cs="Arial"/>
                <w:color w:val="000000"/>
                <w:sz w:val="16"/>
                <w:szCs w:val="16"/>
              </w:rPr>
              <w:t xml:space="preserve"> 15</w:t>
            </w:r>
            <w:r>
              <w:rPr>
                <w:rFonts w:ascii="Arial" w:hAnsi="Arial" w:cs="Arial"/>
                <w:color w:val="000000"/>
                <w:sz w:val="16"/>
                <w:szCs w:val="16"/>
              </w:rPr>
              <w:t xml:space="preserve"> </w:t>
            </w:r>
            <w:r w:rsidR="00AA40D6">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15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 xml:space="preserve">Adderall </w:t>
            </w:r>
            <w:r>
              <w:rPr>
                <w:rFonts w:ascii="Arial" w:hAnsi="Arial" w:cs="Arial"/>
                <w:color w:val="000000"/>
                <w:sz w:val="16"/>
                <w:szCs w:val="16"/>
              </w:rPr>
              <w:t>XR®</w:t>
            </w:r>
            <w:r w:rsidRPr="00F61289">
              <w:rPr>
                <w:rFonts w:ascii="Arial" w:hAnsi="Arial" w:cs="Arial"/>
                <w:color w:val="000000"/>
                <w:sz w:val="16"/>
                <w:szCs w:val="16"/>
              </w:rPr>
              <w:t xml:space="preserve"> 20</w:t>
            </w:r>
            <w:r>
              <w:rPr>
                <w:rFonts w:ascii="Arial" w:hAnsi="Arial" w:cs="Arial"/>
                <w:color w:val="000000"/>
                <w:sz w:val="16"/>
                <w:szCs w:val="16"/>
              </w:rPr>
              <w:t xml:space="preserve"> </w:t>
            </w:r>
            <w:r w:rsidR="00AA40D6">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 xml:space="preserve">Adderall </w:t>
            </w:r>
            <w:r>
              <w:rPr>
                <w:rFonts w:ascii="Arial" w:hAnsi="Arial" w:cs="Arial"/>
                <w:color w:val="000000"/>
                <w:sz w:val="16"/>
                <w:szCs w:val="16"/>
              </w:rPr>
              <w:t>XR®</w:t>
            </w:r>
            <w:r w:rsidRPr="00F61289">
              <w:rPr>
                <w:rFonts w:ascii="Arial" w:hAnsi="Arial" w:cs="Arial"/>
                <w:color w:val="000000"/>
                <w:sz w:val="16"/>
                <w:szCs w:val="16"/>
              </w:rPr>
              <w:t xml:space="preserve"> 25</w:t>
            </w:r>
            <w:r>
              <w:rPr>
                <w:rFonts w:ascii="Arial" w:hAnsi="Arial" w:cs="Arial"/>
                <w:color w:val="000000"/>
                <w:sz w:val="16"/>
                <w:szCs w:val="16"/>
              </w:rPr>
              <w:t xml:space="preserve"> </w:t>
            </w:r>
            <w:r w:rsidR="00AA40D6">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25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56"/>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 xml:space="preserve">Adderall </w:t>
            </w:r>
            <w:r>
              <w:rPr>
                <w:rFonts w:ascii="Arial" w:hAnsi="Arial" w:cs="Arial"/>
                <w:color w:val="000000"/>
                <w:sz w:val="16"/>
                <w:szCs w:val="16"/>
              </w:rPr>
              <w:t>XR®</w:t>
            </w:r>
            <w:r w:rsidRPr="00F61289">
              <w:rPr>
                <w:rFonts w:ascii="Arial" w:hAnsi="Arial" w:cs="Arial"/>
                <w:color w:val="000000"/>
                <w:sz w:val="16"/>
                <w:szCs w:val="16"/>
              </w:rPr>
              <w:t xml:space="preserve"> 30</w:t>
            </w:r>
            <w:r>
              <w:rPr>
                <w:rFonts w:ascii="Arial" w:hAnsi="Arial" w:cs="Arial"/>
                <w:color w:val="000000"/>
                <w:sz w:val="16"/>
                <w:szCs w:val="16"/>
              </w:rPr>
              <w:t xml:space="preserve"> </w:t>
            </w:r>
            <w:r w:rsidR="00AA40D6">
              <w:rPr>
                <w:rFonts w:ascii="Arial" w:hAnsi="Arial" w:cs="Arial"/>
                <w:color w:val="000000"/>
                <w:sz w:val="16"/>
                <w:szCs w:val="16"/>
              </w:rPr>
              <w:t>mg Capsule</w:t>
            </w:r>
          </w:p>
        </w:tc>
        <w:tc>
          <w:tcPr>
            <w:tcW w:w="1260" w:type="dxa"/>
            <w:tcBorders>
              <w:top w:val="nil"/>
              <w:left w:val="nil"/>
              <w:bottom w:val="single" w:sz="8"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nil"/>
              <w:left w:val="nil"/>
              <w:bottom w:val="single" w:sz="8"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8"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31</w:t>
            </w:r>
          </w:p>
        </w:tc>
      </w:tr>
      <w:tr w:rsidR="00D4638A" w:rsidRPr="00F61289" w:rsidTr="00DD08A6">
        <w:trPr>
          <w:trHeight w:val="180"/>
        </w:trPr>
        <w:tc>
          <w:tcPr>
            <w:tcW w:w="9015" w:type="dxa"/>
            <w:gridSpan w:val="5"/>
            <w:tcBorders>
              <w:top w:val="single" w:sz="8" w:space="0" w:color="auto"/>
              <w:left w:val="nil"/>
              <w:bottom w:val="single" w:sz="12" w:space="0" w:color="auto"/>
              <w:right w:val="nil"/>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 </w:t>
            </w:r>
          </w:p>
        </w:tc>
      </w:tr>
      <w:tr w:rsidR="00D4638A" w:rsidRPr="00F61289" w:rsidTr="00DD08A6">
        <w:trPr>
          <w:trHeight w:val="258"/>
        </w:trPr>
        <w:tc>
          <w:tcPr>
            <w:tcW w:w="9015" w:type="dxa"/>
            <w:gridSpan w:val="5"/>
            <w:tcBorders>
              <w:top w:val="single" w:sz="12" w:space="0" w:color="auto"/>
              <w:left w:val="single" w:sz="8" w:space="0" w:color="auto"/>
              <w:bottom w:val="single" w:sz="8" w:space="0" w:color="auto"/>
              <w:right w:val="single" w:sz="8" w:space="0" w:color="000000"/>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Immediate Release Dextroamphetamine M</w:t>
            </w:r>
            <w:r w:rsidR="00EE46CB">
              <w:rPr>
                <w:rFonts w:ascii="Arial" w:hAnsi="Arial" w:cs="Arial"/>
                <w:b/>
                <w:bCs/>
                <w:color w:val="000000"/>
                <w:sz w:val="16"/>
                <w:szCs w:val="16"/>
              </w:rPr>
              <w:t xml:space="preserve">edicaid Max Daily Dose = 40 </w:t>
            </w:r>
            <w:r w:rsidR="00AA40D6">
              <w:rPr>
                <w:rFonts w:ascii="Arial" w:hAnsi="Arial" w:cs="Arial"/>
                <w:b/>
                <w:bCs/>
                <w:color w:val="000000"/>
                <w:sz w:val="16"/>
                <w:szCs w:val="16"/>
              </w:rPr>
              <w:t>mg</w:t>
            </w:r>
          </w:p>
        </w:tc>
      </w:tr>
      <w:tr w:rsidR="00D4638A" w:rsidRPr="00F61289" w:rsidTr="00DD08A6">
        <w:trPr>
          <w:trHeight w:val="547"/>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8261D6" w:rsidP="00DD08A6">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D4638A" w:rsidRPr="00F61289" w:rsidRDefault="00D4638A" w:rsidP="00E87984">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D4638A" w:rsidRPr="007C7486" w:rsidTr="00DD08A6">
        <w:trPr>
          <w:trHeight w:val="62"/>
        </w:trPr>
        <w:tc>
          <w:tcPr>
            <w:tcW w:w="4965" w:type="dxa"/>
            <w:tcBorders>
              <w:top w:val="nil"/>
              <w:left w:val="single" w:sz="8" w:space="0" w:color="auto"/>
              <w:bottom w:val="single" w:sz="4" w:space="0" w:color="auto"/>
              <w:right w:val="single" w:sz="4" w:space="0" w:color="auto"/>
            </w:tcBorders>
            <w:shd w:val="clear" w:color="auto" w:fill="auto"/>
          </w:tcPr>
          <w:p w:rsidR="00D4638A" w:rsidRPr="007C7486" w:rsidRDefault="00E87984" w:rsidP="00DD08A6">
            <w:pPr>
              <w:rPr>
                <w:rFonts w:ascii="Arial" w:hAnsi="Arial" w:cs="Arial"/>
                <w:color w:val="000000"/>
                <w:sz w:val="16"/>
                <w:szCs w:val="16"/>
              </w:rPr>
            </w:pPr>
            <w:r>
              <w:rPr>
                <w:rFonts w:ascii="Arial" w:hAnsi="Arial" w:cs="Arial"/>
                <w:color w:val="000000"/>
                <w:sz w:val="16"/>
                <w:szCs w:val="16"/>
              </w:rPr>
              <w:t xml:space="preserve">Zenzedi® </w:t>
            </w:r>
            <w:r w:rsidR="00D4638A" w:rsidRPr="007C7486">
              <w:rPr>
                <w:rFonts w:ascii="Arial" w:hAnsi="Arial" w:cs="Arial"/>
                <w:color w:val="000000"/>
                <w:sz w:val="16"/>
                <w:szCs w:val="16"/>
              </w:rPr>
              <w:t>(Dextroamphetamine) Tablet 2.5 mg</w:t>
            </w:r>
          </w:p>
        </w:tc>
        <w:tc>
          <w:tcPr>
            <w:tcW w:w="1260" w:type="dxa"/>
            <w:tcBorders>
              <w:top w:val="nil"/>
              <w:left w:val="nil"/>
              <w:bottom w:val="single" w:sz="4" w:space="0" w:color="auto"/>
              <w:right w:val="single" w:sz="4" w:space="0" w:color="auto"/>
            </w:tcBorders>
            <w:shd w:val="clear" w:color="auto" w:fill="auto"/>
          </w:tcPr>
          <w:p w:rsidR="00D4638A" w:rsidRPr="007C7486" w:rsidRDefault="00D4638A" w:rsidP="00DD08A6">
            <w:pPr>
              <w:jc w:val="center"/>
              <w:rPr>
                <w:rFonts w:ascii="Arial" w:hAnsi="Arial" w:cs="Arial"/>
                <w:color w:val="000000"/>
                <w:sz w:val="16"/>
                <w:szCs w:val="16"/>
              </w:rPr>
            </w:pPr>
            <w:r w:rsidRPr="007C7486">
              <w:rPr>
                <w:rFonts w:ascii="Arial" w:hAnsi="Arial" w:cs="Arial"/>
                <w:color w:val="000000"/>
                <w:sz w:val="16"/>
                <w:szCs w:val="16"/>
              </w:rPr>
              <w:t>5 mg</w:t>
            </w:r>
          </w:p>
        </w:tc>
        <w:tc>
          <w:tcPr>
            <w:tcW w:w="1260" w:type="dxa"/>
            <w:gridSpan w:val="2"/>
            <w:tcBorders>
              <w:top w:val="nil"/>
              <w:left w:val="nil"/>
              <w:bottom w:val="single" w:sz="4" w:space="0" w:color="auto"/>
              <w:right w:val="single" w:sz="4" w:space="0" w:color="auto"/>
            </w:tcBorders>
            <w:shd w:val="clear" w:color="auto" w:fill="auto"/>
            <w:noWrap/>
          </w:tcPr>
          <w:p w:rsidR="00D4638A" w:rsidRPr="007C7486" w:rsidRDefault="00D4638A" w:rsidP="00DD08A6">
            <w:pPr>
              <w:jc w:val="center"/>
              <w:rPr>
                <w:rFonts w:ascii="Arial" w:hAnsi="Arial" w:cs="Arial"/>
                <w:color w:val="000000"/>
                <w:sz w:val="16"/>
                <w:szCs w:val="16"/>
              </w:rPr>
            </w:pPr>
            <w:r w:rsidRPr="007C7486">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noWrap/>
          </w:tcPr>
          <w:p w:rsidR="00D4638A" w:rsidRPr="007C7486" w:rsidRDefault="00D4638A" w:rsidP="00DD08A6">
            <w:pPr>
              <w:jc w:val="center"/>
              <w:rPr>
                <w:rFonts w:ascii="Arial" w:hAnsi="Arial" w:cs="Arial"/>
                <w:color w:val="000000"/>
                <w:sz w:val="16"/>
                <w:szCs w:val="16"/>
              </w:rPr>
            </w:pPr>
            <w:r w:rsidRPr="007C7486">
              <w:rPr>
                <w:rFonts w:ascii="Arial" w:hAnsi="Arial" w:cs="Arial"/>
                <w:color w:val="000000"/>
                <w:sz w:val="16"/>
                <w:szCs w:val="16"/>
              </w:rPr>
              <w:t>62</w:t>
            </w:r>
          </w:p>
        </w:tc>
      </w:tr>
      <w:tr w:rsidR="00D4638A" w:rsidRPr="00F61289" w:rsidTr="00DD08A6">
        <w:trPr>
          <w:trHeight w:val="6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Dextroamphetamine (E.G., Dexedrine®, Zenzedi®) Tablet 5</w:t>
            </w:r>
            <w:r>
              <w:rPr>
                <w:rFonts w:ascii="Arial" w:hAnsi="Arial" w:cs="Arial"/>
                <w:color w:val="000000"/>
                <w:sz w:val="16"/>
                <w:szCs w:val="16"/>
              </w:rPr>
              <w:t xml:space="preserve"> </w:t>
            </w:r>
            <w:r w:rsidRPr="00F61289">
              <w:rPr>
                <w:rFonts w:ascii="Arial" w:hAnsi="Arial" w:cs="Arial"/>
                <w:color w:val="000000"/>
                <w:sz w:val="16"/>
                <w:szCs w:val="16"/>
              </w:rPr>
              <w:t>mg</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125"/>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D4638A" w:rsidRPr="00F61289" w:rsidRDefault="00E87984" w:rsidP="00DD08A6">
            <w:pPr>
              <w:rPr>
                <w:rFonts w:ascii="Arial" w:hAnsi="Arial" w:cs="Arial"/>
                <w:color w:val="000000"/>
                <w:sz w:val="16"/>
                <w:szCs w:val="16"/>
              </w:rPr>
            </w:pPr>
            <w:r>
              <w:rPr>
                <w:rFonts w:ascii="Arial" w:hAnsi="Arial" w:cs="Arial"/>
                <w:color w:val="000000"/>
                <w:sz w:val="16"/>
                <w:szCs w:val="16"/>
              </w:rPr>
              <w:t>Zenzedi® (Dextroamphetamine)</w:t>
            </w:r>
            <w:r w:rsidR="00D4638A" w:rsidRPr="00F61289">
              <w:rPr>
                <w:rFonts w:ascii="Arial" w:hAnsi="Arial" w:cs="Arial"/>
                <w:color w:val="000000"/>
                <w:sz w:val="16"/>
                <w:szCs w:val="16"/>
              </w:rPr>
              <w:t xml:space="preserve"> Tablet 7.5 </w:t>
            </w:r>
            <w:r w:rsidR="00D4638A">
              <w:rPr>
                <w:rFonts w:ascii="Arial" w:hAnsi="Arial" w:cs="Arial"/>
                <w:color w:val="000000"/>
                <w:sz w:val="16"/>
                <w:szCs w:val="16"/>
              </w:rPr>
              <w:t>m</w:t>
            </w:r>
            <w:r w:rsidR="00D4638A" w:rsidRPr="00F61289">
              <w:rPr>
                <w:rFonts w:ascii="Arial" w:hAnsi="Arial" w:cs="Arial"/>
                <w:color w:val="000000"/>
                <w:sz w:val="16"/>
                <w:szCs w:val="16"/>
              </w:rPr>
              <w:t>g</w:t>
            </w:r>
          </w:p>
        </w:tc>
        <w:tc>
          <w:tcPr>
            <w:tcW w:w="1260" w:type="dxa"/>
            <w:tcBorders>
              <w:top w:val="nil"/>
              <w:left w:val="nil"/>
              <w:bottom w:val="single" w:sz="4" w:space="0" w:color="auto"/>
              <w:right w:val="single" w:sz="4" w:space="0" w:color="auto"/>
            </w:tcBorders>
            <w:shd w:val="clear" w:color="auto" w:fill="auto"/>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15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noWrap/>
            <w:vAlign w:val="bottom"/>
            <w:hideMark/>
          </w:tcPr>
          <w:p w:rsidR="00D4638A" w:rsidRPr="00F61289" w:rsidRDefault="00D4638A" w:rsidP="00DD08A6">
            <w:pPr>
              <w:jc w:val="center"/>
              <w:rPr>
                <w:rFonts w:ascii="Arial" w:hAnsi="Arial" w:cs="Arial"/>
                <w:color w:val="000000"/>
                <w:sz w:val="16"/>
                <w:szCs w:val="16"/>
              </w:rPr>
            </w:pPr>
            <w:r w:rsidRPr="00F61289">
              <w:rPr>
                <w:rFonts w:ascii="Arial" w:hAnsi="Arial" w:cs="Arial"/>
                <w:color w:val="000000"/>
                <w:sz w:val="16"/>
                <w:szCs w:val="16"/>
              </w:rPr>
              <w:t>62</w:t>
            </w:r>
          </w:p>
        </w:tc>
      </w:tr>
      <w:tr w:rsidR="00D4638A"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tcPr>
          <w:p w:rsidR="00D4638A" w:rsidRPr="00F61289" w:rsidRDefault="00D4638A" w:rsidP="00DD08A6">
            <w:pPr>
              <w:rPr>
                <w:rFonts w:ascii="Arial" w:hAnsi="Arial" w:cs="Arial"/>
                <w:color w:val="000000"/>
                <w:sz w:val="16"/>
                <w:szCs w:val="16"/>
              </w:rPr>
            </w:pPr>
            <w:r w:rsidRPr="00F61289">
              <w:rPr>
                <w:rFonts w:ascii="Arial" w:hAnsi="Arial" w:cs="Arial"/>
                <w:color w:val="000000"/>
                <w:sz w:val="16"/>
                <w:szCs w:val="16"/>
              </w:rPr>
              <w:t xml:space="preserve">Dextroamphetamine (E.G., Dexedrine®, Zenzedi®) Tablet </w:t>
            </w:r>
            <w:r>
              <w:rPr>
                <w:rFonts w:ascii="Arial" w:hAnsi="Arial" w:cs="Arial"/>
                <w:color w:val="000000"/>
                <w:sz w:val="16"/>
                <w:szCs w:val="16"/>
              </w:rPr>
              <w:t>1</w:t>
            </w:r>
            <w:r w:rsidRPr="00F61289">
              <w:rPr>
                <w:rFonts w:ascii="Arial" w:hAnsi="Arial" w:cs="Arial"/>
                <w:color w:val="000000"/>
                <w:sz w:val="16"/>
                <w:szCs w:val="16"/>
              </w:rPr>
              <w:t>0</w:t>
            </w:r>
            <w:r>
              <w:rPr>
                <w:rFonts w:ascii="Arial" w:hAnsi="Arial" w:cs="Arial"/>
                <w:color w:val="000000"/>
                <w:sz w:val="16"/>
                <w:szCs w:val="16"/>
              </w:rPr>
              <w:t xml:space="preserve"> </w:t>
            </w:r>
            <w:r w:rsidRPr="00F61289">
              <w:rPr>
                <w:rFonts w:ascii="Arial" w:hAnsi="Arial" w:cs="Arial"/>
                <w:color w:val="000000"/>
                <w:sz w:val="16"/>
                <w:szCs w:val="16"/>
              </w:rPr>
              <w:t>mg</w:t>
            </w:r>
          </w:p>
        </w:tc>
        <w:tc>
          <w:tcPr>
            <w:tcW w:w="1260" w:type="dxa"/>
            <w:tcBorders>
              <w:top w:val="nil"/>
              <w:left w:val="nil"/>
              <w:bottom w:val="single" w:sz="4" w:space="0" w:color="auto"/>
              <w:right w:val="single" w:sz="4" w:space="0" w:color="auto"/>
            </w:tcBorders>
            <w:shd w:val="clear" w:color="auto" w:fill="auto"/>
            <w:vAlign w:val="bottom"/>
          </w:tcPr>
          <w:p w:rsidR="00D4638A" w:rsidRPr="00F61289" w:rsidRDefault="00AF481F" w:rsidP="00DD08A6">
            <w:pPr>
              <w:jc w:val="center"/>
              <w:rPr>
                <w:rFonts w:ascii="Arial" w:hAnsi="Arial" w:cs="Arial"/>
                <w:color w:val="000000"/>
                <w:sz w:val="16"/>
                <w:szCs w:val="16"/>
              </w:rPr>
            </w:pPr>
            <w:r>
              <w:rPr>
                <w:rFonts w:ascii="Arial" w:hAnsi="Arial" w:cs="Arial"/>
                <w:color w:val="000000"/>
                <w:sz w:val="16"/>
                <w:szCs w:val="16"/>
              </w:rPr>
              <w:t>20</w:t>
            </w:r>
            <w:r w:rsidR="00D4638A" w:rsidRPr="00F61289">
              <w:rPr>
                <w:rFonts w:ascii="Arial" w:hAnsi="Arial" w:cs="Arial"/>
                <w:color w:val="000000"/>
                <w:sz w:val="16"/>
                <w:szCs w:val="16"/>
              </w:rPr>
              <w:t xml:space="preserve"> mg</w:t>
            </w:r>
          </w:p>
        </w:tc>
        <w:tc>
          <w:tcPr>
            <w:tcW w:w="1260" w:type="dxa"/>
            <w:gridSpan w:val="2"/>
            <w:tcBorders>
              <w:top w:val="nil"/>
              <w:left w:val="nil"/>
              <w:bottom w:val="single" w:sz="4" w:space="0" w:color="auto"/>
              <w:right w:val="single" w:sz="4" w:space="0" w:color="auto"/>
            </w:tcBorders>
            <w:shd w:val="clear" w:color="auto" w:fill="auto"/>
            <w:noWrap/>
            <w:vAlign w:val="bottom"/>
          </w:tcPr>
          <w:p w:rsidR="00D4638A" w:rsidRPr="00F61289" w:rsidRDefault="00AF481F" w:rsidP="00DD08A6">
            <w:pPr>
              <w:jc w:val="center"/>
              <w:rPr>
                <w:rFonts w:ascii="Arial" w:hAnsi="Arial" w:cs="Arial"/>
                <w:color w:val="000000"/>
                <w:sz w:val="16"/>
                <w:szCs w:val="16"/>
              </w:rPr>
            </w:pPr>
            <w:r>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noWrap/>
            <w:vAlign w:val="bottom"/>
          </w:tcPr>
          <w:p w:rsidR="00D4638A" w:rsidRPr="00F61289" w:rsidRDefault="00AF481F" w:rsidP="00DD08A6">
            <w:pPr>
              <w:jc w:val="center"/>
              <w:rPr>
                <w:rFonts w:ascii="Arial" w:hAnsi="Arial" w:cs="Arial"/>
                <w:color w:val="000000"/>
                <w:sz w:val="16"/>
                <w:szCs w:val="16"/>
              </w:rPr>
            </w:pPr>
            <w:r>
              <w:rPr>
                <w:rFonts w:ascii="Arial" w:hAnsi="Arial" w:cs="Arial"/>
                <w:color w:val="000000"/>
                <w:sz w:val="16"/>
                <w:szCs w:val="16"/>
              </w:rPr>
              <w:t>62</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Dextroamphetamine (E.G., Dexedrine®, Zenzedi®) Tablet </w:t>
            </w:r>
            <w:r>
              <w:rPr>
                <w:rFonts w:ascii="Arial" w:hAnsi="Arial" w:cs="Arial"/>
                <w:color w:val="000000"/>
                <w:sz w:val="16"/>
                <w:szCs w:val="16"/>
              </w:rPr>
              <w:t xml:space="preserve">15 </w:t>
            </w:r>
            <w:r w:rsidRPr="00F61289">
              <w:rPr>
                <w:rFonts w:ascii="Arial" w:hAnsi="Arial" w:cs="Arial"/>
                <w:color w:val="000000"/>
                <w:sz w:val="16"/>
                <w:szCs w:val="16"/>
              </w:rPr>
              <w:t>mg</w:t>
            </w:r>
          </w:p>
        </w:tc>
        <w:tc>
          <w:tcPr>
            <w:tcW w:w="1260" w:type="dxa"/>
            <w:tcBorders>
              <w:top w:val="nil"/>
              <w:left w:val="nil"/>
              <w:bottom w:val="single" w:sz="4" w:space="0" w:color="auto"/>
              <w:right w:val="single" w:sz="4" w:space="0" w:color="auto"/>
            </w:tcBorders>
            <w:shd w:val="clear" w:color="auto" w:fill="auto"/>
            <w:vAlign w:val="bottom"/>
          </w:tcPr>
          <w:p w:rsidR="00AF481F" w:rsidRPr="00F61289" w:rsidRDefault="00AF481F" w:rsidP="00AF481F">
            <w:pPr>
              <w:jc w:val="center"/>
              <w:rPr>
                <w:rFonts w:ascii="Arial" w:hAnsi="Arial" w:cs="Arial"/>
                <w:color w:val="000000"/>
                <w:sz w:val="16"/>
                <w:szCs w:val="16"/>
              </w:rPr>
            </w:pPr>
            <w:r>
              <w:rPr>
                <w:rFonts w:ascii="Arial" w:hAnsi="Arial" w:cs="Arial"/>
                <w:color w:val="000000"/>
                <w:sz w:val="16"/>
                <w:szCs w:val="16"/>
              </w:rPr>
              <w:t>30 mg</w:t>
            </w:r>
          </w:p>
        </w:tc>
        <w:tc>
          <w:tcPr>
            <w:tcW w:w="1260" w:type="dxa"/>
            <w:gridSpan w:val="2"/>
            <w:tcBorders>
              <w:top w:val="nil"/>
              <w:left w:val="nil"/>
              <w:bottom w:val="single" w:sz="4" w:space="0" w:color="auto"/>
              <w:right w:val="single" w:sz="4" w:space="0" w:color="auto"/>
            </w:tcBorders>
            <w:shd w:val="clear" w:color="auto" w:fill="auto"/>
            <w:noWrap/>
            <w:vAlign w:val="bottom"/>
          </w:tcPr>
          <w:p w:rsidR="00AF481F" w:rsidRDefault="00AF481F" w:rsidP="00AF481F">
            <w:pPr>
              <w:jc w:val="center"/>
              <w:rPr>
                <w:rFonts w:ascii="Arial" w:hAnsi="Arial" w:cs="Arial"/>
                <w:color w:val="000000"/>
                <w:sz w:val="16"/>
                <w:szCs w:val="16"/>
              </w:rPr>
            </w:pPr>
            <w:r>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noWrap/>
            <w:vAlign w:val="bottom"/>
          </w:tcPr>
          <w:p w:rsidR="00AF481F" w:rsidRDefault="00AF481F" w:rsidP="00AF481F">
            <w:pPr>
              <w:jc w:val="center"/>
              <w:rPr>
                <w:rFonts w:ascii="Arial" w:hAnsi="Arial" w:cs="Arial"/>
                <w:color w:val="000000"/>
                <w:sz w:val="16"/>
                <w:szCs w:val="16"/>
              </w:rPr>
            </w:pPr>
            <w:r>
              <w:rPr>
                <w:rFonts w:ascii="Arial" w:hAnsi="Arial" w:cs="Arial"/>
                <w:color w:val="000000"/>
                <w:sz w:val="16"/>
                <w:szCs w:val="16"/>
              </w:rPr>
              <w:t>62</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Dextroamphetamine (E.G., Dexedrine®, Zenzedi®) Tablet </w:t>
            </w:r>
            <w:r>
              <w:rPr>
                <w:rFonts w:ascii="Arial" w:hAnsi="Arial" w:cs="Arial"/>
                <w:color w:val="000000"/>
                <w:sz w:val="16"/>
                <w:szCs w:val="16"/>
              </w:rPr>
              <w:t xml:space="preserve">20 </w:t>
            </w:r>
            <w:r w:rsidRPr="00F61289">
              <w:rPr>
                <w:rFonts w:ascii="Arial" w:hAnsi="Arial" w:cs="Arial"/>
                <w:color w:val="000000"/>
                <w:sz w:val="16"/>
                <w:szCs w:val="16"/>
              </w:rPr>
              <w:t>mg</w:t>
            </w:r>
          </w:p>
        </w:tc>
        <w:tc>
          <w:tcPr>
            <w:tcW w:w="1260" w:type="dxa"/>
            <w:tcBorders>
              <w:top w:val="nil"/>
              <w:left w:val="nil"/>
              <w:bottom w:val="single" w:sz="4" w:space="0" w:color="auto"/>
              <w:right w:val="single" w:sz="4" w:space="0" w:color="auto"/>
            </w:tcBorders>
            <w:shd w:val="clear" w:color="auto" w:fill="auto"/>
            <w:vAlign w:val="bottom"/>
          </w:tcPr>
          <w:p w:rsidR="00AF481F" w:rsidRPr="00F61289" w:rsidRDefault="00AF481F" w:rsidP="00AF481F">
            <w:pPr>
              <w:jc w:val="center"/>
              <w:rPr>
                <w:rFonts w:ascii="Arial" w:hAnsi="Arial" w:cs="Arial"/>
                <w:color w:val="000000"/>
                <w:sz w:val="16"/>
                <w:szCs w:val="16"/>
              </w:rPr>
            </w:pPr>
            <w:r>
              <w:rPr>
                <w:rFonts w:ascii="Arial" w:hAnsi="Arial" w:cs="Arial"/>
                <w:color w:val="000000"/>
                <w:sz w:val="16"/>
                <w:szCs w:val="16"/>
              </w:rPr>
              <w:t>40 mg</w:t>
            </w:r>
          </w:p>
        </w:tc>
        <w:tc>
          <w:tcPr>
            <w:tcW w:w="1260" w:type="dxa"/>
            <w:gridSpan w:val="2"/>
            <w:tcBorders>
              <w:top w:val="nil"/>
              <w:left w:val="nil"/>
              <w:bottom w:val="single" w:sz="4" w:space="0" w:color="auto"/>
              <w:right w:val="single" w:sz="4" w:space="0" w:color="auto"/>
            </w:tcBorders>
            <w:shd w:val="clear" w:color="auto" w:fill="auto"/>
            <w:noWrap/>
            <w:vAlign w:val="bottom"/>
          </w:tcPr>
          <w:p w:rsidR="00AF481F" w:rsidRDefault="00AF481F" w:rsidP="00AF481F">
            <w:pPr>
              <w:jc w:val="center"/>
              <w:rPr>
                <w:rFonts w:ascii="Arial" w:hAnsi="Arial" w:cs="Arial"/>
                <w:color w:val="000000"/>
                <w:sz w:val="16"/>
                <w:szCs w:val="16"/>
              </w:rPr>
            </w:pPr>
            <w:r>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noWrap/>
            <w:vAlign w:val="bottom"/>
          </w:tcPr>
          <w:p w:rsidR="00AF481F" w:rsidRDefault="00AF481F" w:rsidP="00AF481F">
            <w:pPr>
              <w:jc w:val="center"/>
              <w:rPr>
                <w:rFonts w:ascii="Arial" w:hAnsi="Arial" w:cs="Arial"/>
                <w:color w:val="000000"/>
                <w:sz w:val="16"/>
                <w:szCs w:val="16"/>
              </w:rPr>
            </w:pPr>
            <w:r>
              <w:rPr>
                <w:rFonts w:ascii="Arial" w:hAnsi="Arial" w:cs="Arial"/>
                <w:color w:val="000000"/>
                <w:sz w:val="16"/>
                <w:szCs w:val="16"/>
              </w:rPr>
              <w:t>62</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Dextroamphetamine (E.G., Dexedrine®, Zenzedi®) Tablet </w:t>
            </w:r>
            <w:r>
              <w:rPr>
                <w:rFonts w:ascii="Arial" w:hAnsi="Arial" w:cs="Arial"/>
                <w:color w:val="000000"/>
                <w:sz w:val="16"/>
                <w:szCs w:val="16"/>
              </w:rPr>
              <w:t xml:space="preserve">30 </w:t>
            </w:r>
            <w:r w:rsidRPr="00F61289">
              <w:rPr>
                <w:rFonts w:ascii="Arial" w:hAnsi="Arial" w:cs="Arial"/>
                <w:color w:val="000000"/>
                <w:sz w:val="16"/>
                <w:szCs w:val="16"/>
              </w:rPr>
              <w:t>mg</w:t>
            </w:r>
          </w:p>
        </w:tc>
        <w:tc>
          <w:tcPr>
            <w:tcW w:w="1260" w:type="dxa"/>
            <w:tcBorders>
              <w:top w:val="nil"/>
              <w:left w:val="nil"/>
              <w:bottom w:val="single" w:sz="4" w:space="0" w:color="auto"/>
              <w:right w:val="single" w:sz="4" w:space="0" w:color="auto"/>
            </w:tcBorders>
            <w:shd w:val="clear" w:color="auto" w:fill="auto"/>
            <w:vAlign w:val="bottom"/>
          </w:tcPr>
          <w:p w:rsidR="00AF481F" w:rsidRPr="00F61289" w:rsidRDefault="008D104C" w:rsidP="00AF481F">
            <w:pPr>
              <w:jc w:val="center"/>
              <w:rPr>
                <w:rFonts w:ascii="Arial" w:hAnsi="Arial" w:cs="Arial"/>
                <w:color w:val="000000"/>
                <w:sz w:val="16"/>
                <w:szCs w:val="16"/>
              </w:rPr>
            </w:pPr>
            <w:r>
              <w:rPr>
                <w:rFonts w:ascii="Arial" w:hAnsi="Arial" w:cs="Arial"/>
                <w:color w:val="000000"/>
                <w:sz w:val="16"/>
                <w:szCs w:val="16"/>
              </w:rPr>
              <w:t xml:space="preserve">30 </w:t>
            </w:r>
            <w:r w:rsidR="00AF481F">
              <w:rPr>
                <w:rFonts w:ascii="Arial" w:hAnsi="Arial" w:cs="Arial"/>
                <w:color w:val="000000"/>
                <w:sz w:val="16"/>
                <w:szCs w:val="16"/>
              </w:rPr>
              <w:t>mg</w:t>
            </w:r>
          </w:p>
        </w:tc>
        <w:tc>
          <w:tcPr>
            <w:tcW w:w="1260" w:type="dxa"/>
            <w:gridSpan w:val="2"/>
            <w:tcBorders>
              <w:top w:val="nil"/>
              <w:left w:val="nil"/>
              <w:bottom w:val="single" w:sz="4" w:space="0" w:color="auto"/>
              <w:right w:val="single" w:sz="4" w:space="0" w:color="auto"/>
            </w:tcBorders>
            <w:shd w:val="clear" w:color="auto" w:fill="auto"/>
            <w:noWrap/>
            <w:vAlign w:val="bottom"/>
          </w:tcPr>
          <w:p w:rsidR="00AF481F" w:rsidRDefault="00AF481F" w:rsidP="00AF481F">
            <w:pPr>
              <w:jc w:val="center"/>
              <w:rPr>
                <w:rFonts w:ascii="Arial" w:hAnsi="Arial" w:cs="Arial"/>
                <w:color w:val="000000"/>
                <w:sz w:val="16"/>
                <w:szCs w:val="16"/>
              </w:rPr>
            </w:pPr>
            <w:r>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noWrap/>
            <w:vAlign w:val="bottom"/>
          </w:tcPr>
          <w:p w:rsidR="00AF481F" w:rsidRDefault="00AF481F" w:rsidP="00AF481F">
            <w:pPr>
              <w:jc w:val="center"/>
              <w:rPr>
                <w:rFonts w:ascii="Arial" w:hAnsi="Arial" w:cs="Arial"/>
                <w:color w:val="000000"/>
                <w:sz w:val="16"/>
                <w:szCs w:val="16"/>
              </w:rPr>
            </w:pPr>
            <w:r>
              <w:rPr>
                <w:rFonts w:ascii="Arial" w:hAnsi="Arial" w:cs="Arial"/>
                <w:color w:val="000000"/>
                <w:sz w:val="16"/>
                <w:szCs w:val="16"/>
              </w:rPr>
              <w:t>31</w:t>
            </w:r>
          </w:p>
        </w:tc>
      </w:tr>
      <w:tr w:rsidR="00AF481F" w:rsidRPr="00F61289" w:rsidTr="00DD08A6">
        <w:trPr>
          <w:trHeight w:val="165"/>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 </w:t>
            </w:r>
          </w:p>
        </w:tc>
      </w:tr>
      <w:tr w:rsidR="00AF481F" w:rsidRPr="00F61289" w:rsidTr="00DD08A6">
        <w:trPr>
          <w:trHeight w:val="295"/>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 xml:space="preserve">Dextroamphetamine IR Oral Solution (PROCENTRA®) 5 </w:t>
            </w:r>
            <w:r w:rsidR="00EE46CB">
              <w:rPr>
                <w:rFonts w:ascii="Arial" w:hAnsi="Arial" w:cs="Arial"/>
                <w:b/>
                <w:bCs/>
                <w:color w:val="000000"/>
                <w:sz w:val="16"/>
                <w:szCs w:val="16"/>
              </w:rPr>
              <w:t>mg</w:t>
            </w:r>
            <w:r w:rsidRPr="00F61289">
              <w:rPr>
                <w:rFonts w:ascii="Arial" w:hAnsi="Arial" w:cs="Arial"/>
                <w:b/>
                <w:bCs/>
                <w:color w:val="000000"/>
                <w:sz w:val="16"/>
                <w:szCs w:val="16"/>
              </w:rPr>
              <w:t xml:space="preserve">/5 </w:t>
            </w:r>
            <w:r w:rsidR="00EE46CB">
              <w:rPr>
                <w:rFonts w:ascii="Arial" w:hAnsi="Arial" w:cs="Arial"/>
                <w:b/>
                <w:bCs/>
                <w:color w:val="000000"/>
                <w:sz w:val="16"/>
                <w:szCs w:val="16"/>
              </w:rPr>
              <w:t>ml</w:t>
            </w:r>
            <w:r w:rsidRPr="00F61289">
              <w:rPr>
                <w:rFonts w:ascii="Arial" w:hAnsi="Arial" w:cs="Arial"/>
                <w:b/>
                <w:bCs/>
                <w:color w:val="000000"/>
                <w:sz w:val="16"/>
                <w:szCs w:val="16"/>
              </w:rPr>
              <w:t xml:space="preserve"> solution--No Chan</w:t>
            </w:r>
            <w:r w:rsidR="00E87984">
              <w:rPr>
                <w:rFonts w:ascii="Arial" w:hAnsi="Arial" w:cs="Arial"/>
                <w:b/>
                <w:bCs/>
                <w:color w:val="000000"/>
                <w:sz w:val="16"/>
                <w:szCs w:val="16"/>
              </w:rPr>
              <w:t xml:space="preserve">ge to Existing Quantity Edits </w:t>
            </w:r>
            <w:r w:rsidRPr="00F61289">
              <w:rPr>
                <w:rFonts w:ascii="Arial" w:hAnsi="Arial" w:cs="Arial"/>
                <w:b/>
                <w:bCs/>
                <w:color w:val="000000"/>
                <w:sz w:val="16"/>
                <w:szCs w:val="16"/>
              </w:rPr>
              <w:t>Medicaid Max Daily Dose = 15 mg</w:t>
            </w:r>
          </w:p>
        </w:tc>
      </w:tr>
      <w:tr w:rsidR="00AF481F" w:rsidRPr="00F61289" w:rsidTr="00DD08A6">
        <w:trPr>
          <w:trHeight w:val="43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87984">
            <w:pPr>
              <w:rPr>
                <w:rFonts w:ascii="Arial" w:hAnsi="Arial" w:cs="Arial"/>
                <w:b/>
                <w:bCs/>
                <w:color w:val="000000"/>
                <w:sz w:val="16"/>
                <w:szCs w:val="16"/>
              </w:rPr>
            </w:pPr>
            <w:r w:rsidRPr="00F61289">
              <w:rPr>
                <w:rFonts w:ascii="Arial" w:hAnsi="Arial" w:cs="Arial"/>
                <w:b/>
                <w:bCs/>
                <w:color w:val="000000"/>
                <w:sz w:val="16"/>
                <w:szCs w:val="16"/>
              </w:rPr>
              <w:t>MEDICAID MONTHLY MAXIMUM CUMULATIVE QTY</w:t>
            </w:r>
          </w:p>
        </w:tc>
      </w:tr>
      <w:tr w:rsidR="00AF481F" w:rsidRPr="00F61289" w:rsidTr="005F5D4B">
        <w:trPr>
          <w:trHeight w:val="70"/>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Dextroamphetamine IR </w:t>
            </w:r>
            <w:r w:rsidR="00EE46CB">
              <w:rPr>
                <w:rFonts w:ascii="Arial" w:hAnsi="Arial" w:cs="Arial"/>
                <w:color w:val="000000"/>
                <w:sz w:val="16"/>
                <w:szCs w:val="16"/>
              </w:rPr>
              <w:t>Oral Solution (Procentra®) 5 m</w:t>
            </w:r>
            <w:r w:rsidRPr="00F61289">
              <w:rPr>
                <w:rFonts w:ascii="Arial" w:hAnsi="Arial" w:cs="Arial"/>
                <w:color w:val="000000"/>
                <w:sz w:val="16"/>
                <w:szCs w:val="16"/>
              </w:rPr>
              <w:t xml:space="preserve">g/5 </w:t>
            </w:r>
            <w:r>
              <w:rPr>
                <w:rFonts w:ascii="Arial" w:hAnsi="Arial" w:cs="Arial"/>
                <w:color w:val="000000"/>
                <w:sz w:val="16"/>
                <w:szCs w:val="16"/>
              </w:rPr>
              <w:t>m</w:t>
            </w:r>
            <w:r w:rsidRPr="00F61289">
              <w:rPr>
                <w:rFonts w:ascii="Arial" w:hAnsi="Arial" w:cs="Arial"/>
                <w:color w:val="000000"/>
                <w:sz w:val="16"/>
                <w:szCs w:val="16"/>
              </w:rPr>
              <w:t>l Sol</w:t>
            </w:r>
            <w:r>
              <w:rPr>
                <w:rFonts w:ascii="Arial" w:hAnsi="Arial" w:cs="Arial"/>
                <w:color w:val="000000"/>
                <w:sz w:val="16"/>
                <w:szCs w:val="16"/>
              </w:rPr>
              <w:t>n</w:t>
            </w:r>
          </w:p>
        </w:tc>
        <w:tc>
          <w:tcPr>
            <w:tcW w:w="1260" w:type="dxa"/>
            <w:tcBorders>
              <w:top w:val="nil"/>
              <w:left w:val="nil"/>
              <w:bottom w:val="single" w:sz="8"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15 mg</w:t>
            </w:r>
          </w:p>
        </w:tc>
        <w:tc>
          <w:tcPr>
            <w:tcW w:w="1260" w:type="dxa"/>
            <w:gridSpan w:val="2"/>
            <w:tcBorders>
              <w:top w:val="nil"/>
              <w:left w:val="nil"/>
              <w:bottom w:val="single" w:sz="8" w:space="0" w:color="auto"/>
              <w:right w:val="single" w:sz="4" w:space="0" w:color="auto"/>
            </w:tcBorders>
            <w:shd w:val="clear" w:color="auto" w:fill="auto"/>
            <w:vAlign w:val="bottom"/>
            <w:hideMark/>
          </w:tcPr>
          <w:p w:rsidR="00AF481F" w:rsidRPr="00AA40D6" w:rsidRDefault="00AF481F" w:rsidP="002E0242">
            <w:pPr>
              <w:jc w:val="center"/>
              <w:rPr>
                <w:rFonts w:ascii="Arial" w:hAnsi="Arial" w:cs="Arial"/>
                <w:bCs/>
                <w:color w:val="000000"/>
                <w:sz w:val="16"/>
                <w:szCs w:val="16"/>
              </w:rPr>
            </w:pPr>
            <w:r w:rsidRPr="00AA40D6">
              <w:rPr>
                <w:rFonts w:ascii="Arial" w:hAnsi="Arial" w:cs="Arial"/>
                <w:bCs/>
                <w:color w:val="000000"/>
                <w:sz w:val="16"/>
                <w:szCs w:val="16"/>
              </w:rPr>
              <w:t xml:space="preserve">15 </w:t>
            </w:r>
            <w:r w:rsidR="002E0242">
              <w:rPr>
                <w:rFonts w:ascii="Arial" w:hAnsi="Arial" w:cs="Arial"/>
                <w:bCs/>
                <w:color w:val="000000"/>
                <w:sz w:val="16"/>
                <w:szCs w:val="16"/>
              </w:rPr>
              <w:t>ml per day</w:t>
            </w:r>
          </w:p>
        </w:tc>
        <w:tc>
          <w:tcPr>
            <w:tcW w:w="1530" w:type="dxa"/>
            <w:tcBorders>
              <w:top w:val="nil"/>
              <w:left w:val="nil"/>
              <w:bottom w:val="single" w:sz="8" w:space="0" w:color="auto"/>
              <w:right w:val="single" w:sz="8" w:space="0" w:color="auto"/>
            </w:tcBorders>
            <w:shd w:val="clear" w:color="auto" w:fill="auto"/>
            <w:vAlign w:val="bottom"/>
            <w:hideMark/>
          </w:tcPr>
          <w:p w:rsidR="00AF481F" w:rsidRPr="00F61289" w:rsidRDefault="00AF481F" w:rsidP="002E0242">
            <w:pPr>
              <w:jc w:val="center"/>
              <w:rPr>
                <w:rFonts w:ascii="Arial" w:hAnsi="Arial" w:cs="Arial"/>
                <w:color w:val="000000"/>
                <w:sz w:val="16"/>
                <w:szCs w:val="16"/>
              </w:rPr>
            </w:pPr>
            <w:r w:rsidRPr="00F61289">
              <w:rPr>
                <w:rFonts w:ascii="Arial" w:hAnsi="Arial" w:cs="Arial"/>
                <w:color w:val="000000"/>
                <w:sz w:val="16"/>
                <w:szCs w:val="16"/>
              </w:rPr>
              <w:t xml:space="preserve">465 </w:t>
            </w:r>
            <w:r w:rsidR="002E0242">
              <w:rPr>
                <w:rFonts w:ascii="Arial" w:hAnsi="Arial" w:cs="Arial"/>
                <w:color w:val="000000"/>
                <w:sz w:val="16"/>
                <w:szCs w:val="16"/>
              </w:rPr>
              <w:t>ml</w:t>
            </w:r>
          </w:p>
        </w:tc>
      </w:tr>
      <w:tr w:rsidR="00AF481F" w:rsidRPr="00F61289" w:rsidTr="005F5D4B">
        <w:trPr>
          <w:trHeight w:val="127"/>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p>
        </w:tc>
      </w:tr>
      <w:tr w:rsidR="00AF481F" w:rsidRPr="00F61289" w:rsidTr="00DD08A6">
        <w:trPr>
          <w:trHeight w:val="223"/>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 xml:space="preserve">Dextroamphetamine EXTENDED RELEASE </w:t>
            </w:r>
            <w:r w:rsidR="00AA40D6">
              <w:rPr>
                <w:rFonts w:ascii="Arial" w:hAnsi="Arial" w:cs="Arial"/>
                <w:b/>
                <w:bCs/>
                <w:color w:val="000000"/>
                <w:sz w:val="16"/>
                <w:szCs w:val="16"/>
              </w:rPr>
              <w:t>Medicaid Max Daily Dose = 40 mg</w:t>
            </w:r>
          </w:p>
        </w:tc>
      </w:tr>
      <w:tr w:rsidR="00AF481F" w:rsidRPr="00F61289" w:rsidTr="00DD08A6">
        <w:trPr>
          <w:trHeight w:val="5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87984">
            <w:pPr>
              <w:rPr>
                <w:rFonts w:ascii="Arial" w:hAnsi="Arial" w:cs="Arial"/>
                <w:b/>
                <w:bCs/>
                <w:color w:val="000000"/>
                <w:sz w:val="16"/>
                <w:szCs w:val="16"/>
              </w:rPr>
            </w:pPr>
            <w:r w:rsidRPr="00F61289">
              <w:rPr>
                <w:rFonts w:ascii="Arial" w:hAnsi="Arial" w:cs="Arial"/>
                <w:b/>
                <w:bCs/>
                <w:color w:val="000000"/>
                <w:sz w:val="16"/>
                <w:szCs w:val="16"/>
              </w:rPr>
              <w:t>MEDICAID MONTHLY MAX CUMULATIVE QTY</w:t>
            </w:r>
          </w:p>
        </w:tc>
      </w:tr>
      <w:tr w:rsidR="00AF481F" w:rsidRPr="00F61289" w:rsidTr="00DD08A6">
        <w:trPr>
          <w:trHeight w:val="20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Dextro</w:t>
            </w:r>
            <w:r w:rsidR="00425651">
              <w:rPr>
                <w:rFonts w:ascii="Arial" w:hAnsi="Arial" w:cs="Arial"/>
                <w:color w:val="000000"/>
                <w:sz w:val="16"/>
                <w:szCs w:val="16"/>
              </w:rPr>
              <w:t xml:space="preserve">amphetamine (e.g., Dexedrine®) </w:t>
            </w:r>
            <w:r>
              <w:rPr>
                <w:rFonts w:ascii="Arial" w:hAnsi="Arial" w:cs="Arial"/>
                <w:color w:val="000000"/>
                <w:sz w:val="16"/>
                <w:szCs w:val="16"/>
              </w:rPr>
              <w:t xml:space="preserve">Capsule </w:t>
            </w:r>
            <w:r w:rsidRPr="00F61289">
              <w:rPr>
                <w:rFonts w:ascii="Arial" w:hAnsi="Arial" w:cs="Arial"/>
                <w:color w:val="000000"/>
                <w:sz w:val="16"/>
                <w:szCs w:val="16"/>
              </w:rPr>
              <w:t>5</w:t>
            </w:r>
            <w:r>
              <w:rPr>
                <w:rFonts w:ascii="Arial" w:hAnsi="Arial" w:cs="Arial"/>
                <w:color w:val="000000"/>
                <w:sz w:val="16"/>
                <w:szCs w:val="16"/>
              </w:rPr>
              <w:t xml:space="preserve"> </w:t>
            </w:r>
            <w:r w:rsidRPr="00F61289">
              <w:rPr>
                <w:rFonts w:ascii="Arial" w:hAnsi="Arial" w:cs="Arial"/>
                <w:color w:val="000000"/>
                <w:sz w:val="16"/>
                <w:szCs w:val="16"/>
              </w:rPr>
              <w:t>mg</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5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66310C">
        <w:trPr>
          <w:trHeight w:val="188"/>
        </w:trPr>
        <w:tc>
          <w:tcPr>
            <w:tcW w:w="496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Dextroamphetamine (e.g., Dexedrine®) </w:t>
            </w:r>
            <w:r>
              <w:rPr>
                <w:rFonts w:ascii="Arial" w:hAnsi="Arial" w:cs="Arial"/>
                <w:color w:val="000000"/>
                <w:sz w:val="16"/>
                <w:szCs w:val="16"/>
              </w:rPr>
              <w:t>Capsule</w:t>
            </w:r>
            <w:r w:rsidRPr="00F61289">
              <w:rPr>
                <w:rFonts w:ascii="Arial" w:hAnsi="Arial" w:cs="Arial"/>
                <w:color w:val="000000"/>
                <w:sz w:val="16"/>
                <w:szCs w:val="16"/>
              </w:rPr>
              <w:t xml:space="preserve"> 10</w:t>
            </w:r>
            <w:r>
              <w:rPr>
                <w:rFonts w:ascii="Arial" w:hAnsi="Arial" w:cs="Arial"/>
                <w:color w:val="000000"/>
                <w:sz w:val="16"/>
                <w:szCs w:val="16"/>
              </w:rPr>
              <w:t xml:space="preserve"> </w:t>
            </w:r>
            <w:r w:rsidRPr="00F61289">
              <w:rPr>
                <w:rFonts w:ascii="Arial" w:hAnsi="Arial" w:cs="Arial"/>
                <w:color w:val="000000"/>
                <w:sz w:val="16"/>
                <w:szCs w:val="16"/>
              </w:rPr>
              <w:t>mg</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40 mg</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w:t>
            </w:r>
          </w:p>
        </w:tc>
        <w:tc>
          <w:tcPr>
            <w:tcW w:w="1530" w:type="dxa"/>
            <w:tcBorders>
              <w:top w:val="single" w:sz="4" w:space="0" w:color="auto"/>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124</w:t>
            </w:r>
          </w:p>
        </w:tc>
      </w:tr>
      <w:tr w:rsidR="00AF481F" w:rsidRPr="00F61289" w:rsidTr="0066310C">
        <w:trPr>
          <w:trHeight w:val="62"/>
        </w:trPr>
        <w:tc>
          <w:tcPr>
            <w:tcW w:w="496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Dextroamphetamine (e.g., Dexedrine®) </w:t>
            </w:r>
            <w:r>
              <w:rPr>
                <w:rFonts w:ascii="Arial" w:hAnsi="Arial" w:cs="Arial"/>
                <w:color w:val="000000"/>
                <w:sz w:val="16"/>
                <w:szCs w:val="16"/>
              </w:rPr>
              <w:t>Capsule</w:t>
            </w:r>
            <w:r w:rsidRPr="00F61289">
              <w:rPr>
                <w:rFonts w:ascii="Arial" w:hAnsi="Arial" w:cs="Arial"/>
                <w:color w:val="000000"/>
                <w:sz w:val="16"/>
                <w:szCs w:val="16"/>
              </w:rPr>
              <w:t xml:space="preserve"> 15</w:t>
            </w:r>
            <w:r>
              <w:rPr>
                <w:rFonts w:ascii="Arial" w:hAnsi="Arial" w:cs="Arial"/>
                <w:color w:val="000000"/>
                <w:sz w:val="16"/>
                <w:szCs w:val="16"/>
              </w:rPr>
              <w:t xml:space="preserve"> </w:t>
            </w:r>
            <w:r w:rsidRPr="00F61289">
              <w:rPr>
                <w:rFonts w:ascii="Arial" w:hAnsi="Arial" w:cs="Arial"/>
                <w:color w:val="000000"/>
                <w:sz w:val="16"/>
                <w:szCs w:val="16"/>
              </w:rPr>
              <w:t>mg</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single" w:sz="4" w:space="0" w:color="auto"/>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023218">
        <w:trPr>
          <w:trHeight w:val="313"/>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lastRenderedPageBreak/>
              <w:t>Vyvanse (lis-dexamfetamine) EXTENDED RELEASE -- No Changes to Existing Quantity Edits. Medicaid Max Daily Dose = 70 mg</w:t>
            </w:r>
          </w:p>
        </w:tc>
      </w:tr>
      <w:tr w:rsidR="00AF481F" w:rsidRPr="00F61289" w:rsidTr="005B4785">
        <w:trPr>
          <w:trHeight w:val="67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 CUMULATIVE QTY</w:t>
            </w:r>
          </w:p>
        </w:tc>
      </w:tr>
      <w:tr w:rsidR="00AF481F" w:rsidRPr="00F61289" w:rsidTr="00DD08A6">
        <w:trPr>
          <w:trHeight w:val="71"/>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107916">
            <w:pPr>
              <w:rPr>
                <w:rFonts w:ascii="Arial" w:hAnsi="Arial" w:cs="Arial"/>
                <w:sz w:val="16"/>
                <w:szCs w:val="16"/>
              </w:rPr>
            </w:pPr>
            <w:r w:rsidRPr="00F61289">
              <w:rPr>
                <w:rFonts w:ascii="Arial" w:hAnsi="Arial" w:cs="Arial"/>
                <w:sz w:val="16"/>
                <w:szCs w:val="16"/>
              </w:rPr>
              <w:t xml:space="preserve">Vyvanse® 20 </w:t>
            </w:r>
            <w:r w:rsidR="00107916">
              <w:rPr>
                <w:rFonts w:ascii="Arial" w:hAnsi="Arial" w:cs="Arial"/>
                <w:sz w:val="16"/>
                <w:szCs w:val="16"/>
              </w:rPr>
              <w:t>mg</w:t>
            </w:r>
            <w:r w:rsidRPr="00F61289">
              <w:rPr>
                <w:rFonts w:ascii="Arial" w:hAnsi="Arial" w:cs="Arial"/>
                <w:sz w:val="16"/>
                <w:szCs w:val="16"/>
              </w:rPr>
              <w:t xml:space="preserve">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1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107916" w:rsidP="00AA40D6">
            <w:pPr>
              <w:rPr>
                <w:rFonts w:ascii="Arial" w:hAnsi="Arial" w:cs="Arial"/>
                <w:sz w:val="16"/>
                <w:szCs w:val="16"/>
              </w:rPr>
            </w:pPr>
            <w:r>
              <w:rPr>
                <w:rFonts w:ascii="Arial" w:hAnsi="Arial" w:cs="Arial"/>
                <w:sz w:val="16"/>
                <w:szCs w:val="16"/>
              </w:rPr>
              <w:t>Vyvanse® 30 m</w:t>
            </w:r>
            <w:r w:rsidR="00AF481F" w:rsidRPr="00F61289">
              <w:rPr>
                <w:rFonts w:ascii="Arial" w:hAnsi="Arial" w:cs="Arial"/>
                <w:sz w:val="16"/>
                <w:szCs w:val="16"/>
              </w:rPr>
              <w:t>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8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107916" w:rsidP="00AF481F">
            <w:pPr>
              <w:rPr>
                <w:rFonts w:ascii="Arial" w:hAnsi="Arial" w:cs="Arial"/>
                <w:sz w:val="16"/>
                <w:szCs w:val="16"/>
              </w:rPr>
            </w:pPr>
            <w:r>
              <w:rPr>
                <w:rFonts w:ascii="Arial" w:hAnsi="Arial" w:cs="Arial"/>
                <w:sz w:val="16"/>
                <w:szCs w:val="16"/>
              </w:rPr>
              <w:t>Vyvanse® 40 m</w:t>
            </w:r>
            <w:r w:rsidR="00AF481F" w:rsidRPr="00F61289">
              <w:rPr>
                <w:rFonts w:ascii="Arial" w:hAnsi="Arial" w:cs="Arial"/>
                <w:sz w:val="16"/>
                <w:szCs w:val="16"/>
              </w:rPr>
              <w:t>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107916" w:rsidP="00AA40D6">
            <w:pPr>
              <w:rPr>
                <w:rFonts w:ascii="Arial" w:hAnsi="Arial" w:cs="Arial"/>
                <w:sz w:val="16"/>
                <w:szCs w:val="16"/>
              </w:rPr>
            </w:pPr>
            <w:r>
              <w:rPr>
                <w:rFonts w:ascii="Arial" w:hAnsi="Arial" w:cs="Arial"/>
                <w:sz w:val="16"/>
                <w:szCs w:val="16"/>
              </w:rPr>
              <w:t>Vyvanse® 50 m</w:t>
            </w:r>
            <w:r w:rsidR="00AF481F" w:rsidRPr="00F61289">
              <w:rPr>
                <w:rFonts w:ascii="Arial" w:hAnsi="Arial" w:cs="Arial"/>
                <w:sz w:val="16"/>
                <w:szCs w:val="16"/>
              </w:rPr>
              <w:t>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50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89"/>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107916" w:rsidP="00AF481F">
            <w:pPr>
              <w:rPr>
                <w:rFonts w:ascii="Arial" w:hAnsi="Arial" w:cs="Arial"/>
                <w:sz w:val="16"/>
                <w:szCs w:val="16"/>
              </w:rPr>
            </w:pPr>
            <w:r>
              <w:rPr>
                <w:rFonts w:ascii="Arial" w:hAnsi="Arial" w:cs="Arial"/>
                <w:sz w:val="16"/>
                <w:szCs w:val="16"/>
              </w:rPr>
              <w:t>Vyvanse® 60 m</w:t>
            </w:r>
            <w:r w:rsidR="00AF481F" w:rsidRPr="00F61289">
              <w:rPr>
                <w:rFonts w:ascii="Arial" w:hAnsi="Arial" w:cs="Arial"/>
                <w:sz w:val="16"/>
                <w:szCs w:val="16"/>
              </w:rPr>
              <w:t>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56"/>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107916" w:rsidP="00AA40D6">
            <w:pPr>
              <w:rPr>
                <w:rFonts w:ascii="Arial" w:hAnsi="Arial" w:cs="Arial"/>
                <w:sz w:val="16"/>
                <w:szCs w:val="16"/>
              </w:rPr>
            </w:pPr>
            <w:r>
              <w:rPr>
                <w:rFonts w:ascii="Arial" w:hAnsi="Arial" w:cs="Arial"/>
                <w:sz w:val="16"/>
                <w:szCs w:val="16"/>
              </w:rPr>
              <w:t>Vyvanse® 70 m</w:t>
            </w:r>
            <w:r w:rsidR="00AF481F" w:rsidRPr="00F61289">
              <w:rPr>
                <w:rFonts w:ascii="Arial" w:hAnsi="Arial" w:cs="Arial"/>
                <w:sz w:val="16"/>
                <w:szCs w:val="16"/>
              </w:rPr>
              <w:t>g Capsule</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70 mg</w:t>
            </w:r>
          </w:p>
        </w:tc>
        <w:tc>
          <w:tcPr>
            <w:tcW w:w="1260" w:type="dxa"/>
            <w:gridSpan w:val="2"/>
            <w:tcBorders>
              <w:top w:val="nil"/>
              <w:left w:val="nil"/>
              <w:bottom w:val="single" w:sz="8"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20"/>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sz w:val="16"/>
                <w:szCs w:val="16"/>
              </w:rPr>
            </w:pPr>
            <w:r w:rsidRPr="00F61289">
              <w:rPr>
                <w:rFonts w:ascii="Arial" w:hAnsi="Arial" w:cs="Arial"/>
                <w:sz w:val="16"/>
                <w:szCs w:val="16"/>
              </w:rPr>
              <w:t> </w:t>
            </w:r>
          </w:p>
        </w:tc>
      </w:tr>
      <w:tr w:rsidR="00AF481F" w:rsidRPr="00F61289" w:rsidTr="00DD08A6">
        <w:trPr>
          <w:trHeight w:val="205"/>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Methamphetamine HCl Medicaid Max Daily Dose = 10 mg</w:t>
            </w:r>
          </w:p>
        </w:tc>
      </w:tr>
      <w:tr w:rsidR="00AF481F" w:rsidRPr="00F61289" w:rsidTr="00DD08A6">
        <w:trPr>
          <w:trHeight w:val="41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315"/>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Desoxyn® (Methamphetamine) 5mg Tablet</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 xml:space="preserve">10 </w:t>
            </w:r>
            <w:r>
              <w:rPr>
                <w:rFonts w:ascii="Arial" w:hAnsi="Arial" w:cs="Arial"/>
                <w:color w:val="000000"/>
                <w:sz w:val="16"/>
                <w:szCs w:val="16"/>
              </w:rPr>
              <w:t>m</w:t>
            </w:r>
            <w:r w:rsidRPr="00F61289">
              <w:rPr>
                <w:rFonts w:ascii="Arial" w:hAnsi="Arial" w:cs="Arial"/>
                <w:color w:val="000000"/>
                <w:sz w:val="16"/>
                <w:szCs w:val="16"/>
              </w:rPr>
              <w:t>g</w:t>
            </w:r>
          </w:p>
        </w:tc>
        <w:tc>
          <w:tcPr>
            <w:tcW w:w="1260" w:type="dxa"/>
            <w:gridSpan w:val="2"/>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46"/>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sz w:val="16"/>
                <w:szCs w:val="16"/>
              </w:rPr>
            </w:pPr>
            <w:r w:rsidRPr="00F61289">
              <w:rPr>
                <w:rFonts w:ascii="Arial" w:hAnsi="Arial" w:cs="Arial"/>
                <w:sz w:val="16"/>
                <w:szCs w:val="16"/>
              </w:rPr>
              <w:t> </w:t>
            </w:r>
          </w:p>
        </w:tc>
      </w:tr>
      <w:tr w:rsidR="00AF481F" w:rsidRPr="00F61289" w:rsidTr="00DD08A6">
        <w:trPr>
          <w:trHeight w:val="295"/>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jc w:val="center"/>
              <w:rPr>
                <w:rFonts w:ascii="Arial Black" w:hAnsi="Arial Black"/>
                <w:b/>
                <w:bCs/>
                <w:color w:val="000000"/>
                <w:sz w:val="20"/>
                <w:szCs w:val="20"/>
              </w:rPr>
            </w:pPr>
            <w:r w:rsidRPr="00F61289">
              <w:rPr>
                <w:rFonts w:ascii="Arial Black" w:hAnsi="Arial Black"/>
                <w:b/>
                <w:bCs/>
                <w:color w:val="000000"/>
                <w:sz w:val="20"/>
                <w:szCs w:val="20"/>
              </w:rPr>
              <w:t>Methylphenidate Agents</w:t>
            </w:r>
          </w:p>
        </w:tc>
      </w:tr>
      <w:tr w:rsidR="00AF481F" w:rsidRPr="00F61289" w:rsidTr="00DD08A6">
        <w:trPr>
          <w:trHeight w:val="169"/>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 xml:space="preserve">Immediate Release Methylphenidate </w:t>
            </w:r>
            <w:r w:rsidR="00AA40D6">
              <w:rPr>
                <w:rFonts w:ascii="Arial" w:hAnsi="Arial" w:cs="Arial"/>
                <w:b/>
                <w:bCs/>
                <w:color w:val="000000"/>
                <w:sz w:val="16"/>
                <w:szCs w:val="16"/>
              </w:rPr>
              <w:t>Medicaid Max Daily Dose = 60 mg</w:t>
            </w:r>
          </w:p>
        </w:tc>
      </w:tr>
      <w:tr w:rsidR="00AF481F" w:rsidRPr="00F61289" w:rsidTr="00DD08A6">
        <w:trPr>
          <w:trHeight w:val="484"/>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15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EE46CB" w:rsidP="00AF481F">
            <w:pPr>
              <w:rPr>
                <w:rFonts w:ascii="Arial" w:hAnsi="Arial" w:cs="Arial"/>
                <w:color w:val="000000"/>
                <w:sz w:val="16"/>
                <w:szCs w:val="16"/>
              </w:rPr>
            </w:pPr>
            <w:r>
              <w:rPr>
                <w:rFonts w:ascii="Arial" w:hAnsi="Arial" w:cs="Arial"/>
                <w:color w:val="000000"/>
                <w:sz w:val="16"/>
                <w:szCs w:val="16"/>
              </w:rPr>
              <w:t>Methylin 2.5 m</w:t>
            </w:r>
            <w:r w:rsidR="00AA40D6">
              <w:rPr>
                <w:rFonts w:ascii="Arial" w:hAnsi="Arial" w:cs="Arial"/>
                <w:color w:val="000000"/>
                <w:sz w:val="16"/>
                <w:szCs w:val="16"/>
              </w:rPr>
              <w:t>g Chewable Tab</w:t>
            </w:r>
            <w:r w:rsidR="00107916">
              <w:rPr>
                <w:rFonts w:ascii="Arial" w:hAnsi="Arial" w:cs="Arial"/>
                <w:color w:val="000000"/>
                <w:sz w:val="16"/>
                <w:szCs w:val="16"/>
              </w:rPr>
              <w:t>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5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11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EE46CB" w:rsidP="00AF481F">
            <w:pPr>
              <w:rPr>
                <w:rFonts w:ascii="Arial" w:hAnsi="Arial" w:cs="Arial"/>
                <w:color w:val="000000"/>
                <w:sz w:val="16"/>
                <w:szCs w:val="16"/>
              </w:rPr>
            </w:pPr>
            <w:r>
              <w:rPr>
                <w:rFonts w:ascii="Arial" w:hAnsi="Arial" w:cs="Arial"/>
                <w:color w:val="000000"/>
                <w:sz w:val="16"/>
                <w:szCs w:val="16"/>
              </w:rPr>
              <w:t>Methylin 5 m</w:t>
            </w:r>
            <w:r w:rsidR="00AA40D6">
              <w:rPr>
                <w:rFonts w:ascii="Arial" w:hAnsi="Arial" w:cs="Arial"/>
                <w:color w:val="000000"/>
                <w:sz w:val="16"/>
                <w:szCs w:val="16"/>
              </w:rPr>
              <w:t>g Chewable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8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EE46CB" w:rsidP="00AF481F">
            <w:pPr>
              <w:rPr>
                <w:rFonts w:ascii="Arial" w:hAnsi="Arial" w:cs="Arial"/>
                <w:color w:val="000000"/>
                <w:sz w:val="16"/>
                <w:szCs w:val="16"/>
              </w:rPr>
            </w:pPr>
            <w:r>
              <w:rPr>
                <w:rFonts w:ascii="Arial" w:hAnsi="Arial" w:cs="Arial"/>
                <w:color w:val="000000"/>
                <w:sz w:val="16"/>
                <w:szCs w:val="16"/>
              </w:rPr>
              <w:t>Methylin 10 m</w:t>
            </w:r>
            <w:r w:rsidR="00AF481F" w:rsidRPr="00F61289">
              <w:rPr>
                <w:rFonts w:ascii="Arial" w:hAnsi="Arial" w:cs="Arial"/>
                <w:color w:val="000000"/>
                <w:sz w:val="16"/>
                <w:szCs w:val="16"/>
              </w:rPr>
              <w:t>g Chewable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186</w:t>
            </w:r>
          </w:p>
        </w:tc>
      </w:tr>
      <w:tr w:rsidR="00AF481F" w:rsidRPr="00F61289" w:rsidTr="00DD08A6">
        <w:trPr>
          <w:trHeight w:val="134"/>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5</w:t>
            </w:r>
            <w:r w:rsidR="00EE46CB">
              <w:rPr>
                <w:rFonts w:ascii="Arial" w:hAnsi="Arial" w:cs="Arial"/>
                <w:color w:val="000000"/>
                <w:sz w:val="16"/>
                <w:szCs w:val="16"/>
              </w:rPr>
              <w:t xml:space="preserve"> </w:t>
            </w:r>
            <w:r w:rsidRPr="00F61289">
              <w:rPr>
                <w:rFonts w:ascii="Arial" w:hAnsi="Arial" w:cs="Arial"/>
                <w:color w:val="000000"/>
                <w:sz w:val="16"/>
                <w:szCs w:val="16"/>
              </w:rPr>
              <w:t>mg Swallow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Pr>
                <w:rFonts w:ascii="Arial" w:hAnsi="Arial" w:cs="Arial"/>
                <w:color w:val="000000"/>
                <w:sz w:val="16"/>
                <w:szCs w:val="16"/>
              </w:rPr>
              <w:t xml:space="preserve">10 </w:t>
            </w:r>
            <w:r w:rsidRPr="00F61289">
              <w:rPr>
                <w:rFonts w:ascii="Arial" w:hAnsi="Arial" w:cs="Arial"/>
                <w:color w:val="000000"/>
                <w:sz w:val="16"/>
                <w:szCs w:val="16"/>
              </w:rPr>
              <w:t>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8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10</w:t>
            </w:r>
            <w:r w:rsidR="00EE46CB">
              <w:rPr>
                <w:rFonts w:ascii="Arial" w:hAnsi="Arial" w:cs="Arial"/>
                <w:color w:val="000000"/>
                <w:sz w:val="16"/>
                <w:szCs w:val="16"/>
              </w:rPr>
              <w:t xml:space="preserve"> </w:t>
            </w:r>
            <w:r w:rsidRPr="00F61289">
              <w:rPr>
                <w:rFonts w:ascii="Arial" w:hAnsi="Arial" w:cs="Arial"/>
                <w:color w:val="000000"/>
                <w:sz w:val="16"/>
                <w:szCs w:val="16"/>
              </w:rPr>
              <w:t>mg Swallow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134"/>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20</w:t>
            </w:r>
            <w:r w:rsidR="00EE46CB">
              <w:rPr>
                <w:rFonts w:ascii="Arial" w:hAnsi="Arial" w:cs="Arial"/>
                <w:color w:val="000000"/>
                <w:sz w:val="16"/>
                <w:szCs w:val="16"/>
              </w:rPr>
              <w:t xml:space="preserve"> </w:t>
            </w:r>
            <w:r w:rsidRPr="00F61289">
              <w:rPr>
                <w:rFonts w:ascii="Arial" w:hAnsi="Arial" w:cs="Arial"/>
                <w:color w:val="000000"/>
                <w:sz w:val="16"/>
                <w:szCs w:val="16"/>
              </w:rPr>
              <w:t>mg Swallow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93</w:t>
            </w:r>
          </w:p>
        </w:tc>
      </w:tr>
      <w:tr w:rsidR="00AF481F" w:rsidRPr="00F61289" w:rsidTr="00DD08A6">
        <w:trPr>
          <w:trHeight w:val="89"/>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EE46CB" w:rsidP="00AF481F">
            <w:pPr>
              <w:rPr>
                <w:rFonts w:ascii="Arial" w:hAnsi="Arial" w:cs="Arial"/>
                <w:color w:val="000000"/>
                <w:sz w:val="16"/>
                <w:szCs w:val="16"/>
              </w:rPr>
            </w:pPr>
            <w:r>
              <w:rPr>
                <w:rFonts w:ascii="Arial" w:hAnsi="Arial" w:cs="Arial"/>
                <w:color w:val="000000"/>
                <w:sz w:val="16"/>
                <w:szCs w:val="16"/>
              </w:rPr>
              <w:t>Methylin 5 m</w:t>
            </w:r>
            <w:r w:rsidR="00AF481F" w:rsidRPr="00F61289">
              <w:rPr>
                <w:rFonts w:ascii="Arial" w:hAnsi="Arial" w:cs="Arial"/>
                <w:color w:val="000000"/>
                <w:sz w:val="16"/>
                <w:szCs w:val="16"/>
              </w:rPr>
              <w:t xml:space="preserve">g/5 </w:t>
            </w:r>
            <w:r w:rsidR="00AF481F">
              <w:rPr>
                <w:rFonts w:ascii="Arial" w:hAnsi="Arial" w:cs="Arial"/>
                <w:color w:val="000000"/>
                <w:sz w:val="16"/>
                <w:szCs w:val="16"/>
              </w:rPr>
              <w:t>m</w:t>
            </w:r>
            <w:r w:rsidR="00AA40D6">
              <w:rPr>
                <w:rFonts w:ascii="Arial" w:hAnsi="Arial" w:cs="Arial"/>
                <w:color w:val="000000"/>
                <w:sz w:val="16"/>
                <w:szCs w:val="16"/>
              </w:rPr>
              <w:t>l Solution</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EE46CB" w:rsidP="00EE46CB">
            <w:pPr>
              <w:jc w:val="center"/>
              <w:rPr>
                <w:rFonts w:ascii="Arial" w:hAnsi="Arial" w:cs="Arial"/>
                <w:color w:val="000000"/>
                <w:sz w:val="16"/>
                <w:szCs w:val="16"/>
              </w:rPr>
            </w:pPr>
            <w:r>
              <w:rPr>
                <w:rFonts w:ascii="Arial" w:hAnsi="Arial" w:cs="Arial"/>
                <w:color w:val="000000"/>
                <w:sz w:val="16"/>
                <w:szCs w:val="16"/>
              </w:rPr>
              <w:t>30 ml</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F27A95" w:rsidP="00AF481F">
            <w:pPr>
              <w:jc w:val="center"/>
              <w:rPr>
                <w:rFonts w:ascii="Arial" w:hAnsi="Arial" w:cs="Arial"/>
                <w:color w:val="000000"/>
                <w:sz w:val="16"/>
                <w:szCs w:val="16"/>
              </w:rPr>
            </w:pPr>
            <w:r>
              <w:rPr>
                <w:rFonts w:ascii="Arial" w:hAnsi="Arial" w:cs="Arial"/>
                <w:color w:val="000000"/>
                <w:sz w:val="16"/>
                <w:szCs w:val="16"/>
              </w:rPr>
              <w:t>480 ml</w:t>
            </w:r>
          </w:p>
        </w:tc>
      </w:tr>
      <w:tr w:rsidR="00AF481F" w:rsidRPr="00F61289" w:rsidTr="00DD08A6">
        <w:trPr>
          <w:trHeight w:val="56"/>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EE46CB" w:rsidP="00AF481F">
            <w:pPr>
              <w:rPr>
                <w:rFonts w:ascii="Arial" w:hAnsi="Arial" w:cs="Arial"/>
                <w:color w:val="000000"/>
                <w:sz w:val="16"/>
                <w:szCs w:val="16"/>
              </w:rPr>
            </w:pPr>
            <w:r>
              <w:rPr>
                <w:rFonts w:ascii="Arial" w:hAnsi="Arial" w:cs="Arial"/>
                <w:color w:val="000000"/>
                <w:sz w:val="16"/>
                <w:szCs w:val="16"/>
              </w:rPr>
              <w:t>Methylin 10 m</w:t>
            </w:r>
            <w:r w:rsidR="00AF481F" w:rsidRPr="00F61289">
              <w:rPr>
                <w:rFonts w:ascii="Arial" w:hAnsi="Arial" w:cs="Arial"/>
                <w:color w:val="000000"/>
                <w:sz w:val="16"/>
                <w:szCs w:val="16"/>
              </w:rPr>
              <w:t xml:space="preserve">g/5 </w:t>
            </w:r>
            <w:r w:rsidR="00AF481F">
              <w:rPr>
                <w:rFonts w:ascii="Arial" w:hAnsi="Arial" w:cs="Arial"/>
                <w:color w:val="000000"/>
                <w:sz w:val="16"/>
                <w:szCs w:val="16"/>
              </w:rPr>
              <w:t>m</w:t>
            </w:r>
            <w:r w:rsidR="00AA40D6">
              <w:rPr>
                <w:rFonts w:ascii="Arial" w:hAnsi="Arial" w:cs="Arial"/>
                <w:color w:val="000000"/>
                <w:sz w:val="16"/>
                <w:szCs w:val="16"/>
              </w:rPr>
              <w:t>l Solution</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260" w:type="dxa"/>
            <w:gridSpan w:val="2"/>
            <w:tcBorders>
              <w:top w:val="nil"/>
              <w:left w:val="nil"/>
              <w:bottom w:val="single" w:sz="8" w:space="0" w:color="auto"/>
              <w:right w:val="single" w:sz="4" w:space="0" w:color="auto"/>
            </w:tcBorders>
            <w:shd w:val="clear" w:color="auto" w:fill="auto"/>
            <w:vAlign w:val="bottom"/>
            <w:hideMark/>
          </w:tcPr>
          <w:p w:rsidR="00AF481F" w:rsidRPr="00F61289" w:rsidRDefault="00AF481F" w:rsidP="00EE46CB">
            <w:pPr>
              <w:jc w:val="center"/>
              <w:rPr>
                <w:rFonts w:ascii="Arial" w:hAnsi="Arial" w:cs="Arial"/>
                <w:color w:val="000000"/>
                <w:sz w:val="16"/>
                <w:szCs w:val="16"/>
              </w:rPr>
            </w:pPr>
            <w:r w:rsidRPr="00F61289">
              <w:rPr>
                <w:rFonts w:ascii="Arial" w:hAnsi="Arial" w:cs="Arial"/>
                <w:color w:val="000000"/>
                <w:sz w:val="16"/>
                <w:szCs w:val="16"/>
              </w:rPr>
              <w:t xml:space="preserve">30 </w:t>
            </w:r>
            <w:r w:rsidR="00EE46CB">
              <w:rPr>
                <w:rFonts w:ascii="Arial" w:hAnsi="Arial" w:cs="Arial"/>
                <w:color w:val="000000"/>
                <w:sz w:val="16"/>
                <w:szCs w:val="16"/>
              </w:rPr>
              <w:t>ml</w:t>
            </w:r>
          </w:p>
        </w:tc>
        <w:tc>
          <w:tcPr>
            <w:tcW w:w="1530" w:type="dxa"/>
            <w:tcBorders>
              <w:top w:val="nil"/>
              <w:left w:val="nil"/>
              <w:bottom w:val="single" w:sz="8" w:space="0" w:color="auto"/>
              <w:right w:val="single" w:sz="8" w:space="0" w:color="auto"/>
            </w:tcBorders>
            <w:shd w:val="clear" w:color="auto" w:fill="auto"/>
            <w:vAlign w:val="bottom"/>
            <w:hideMark/>
          </w:tcPr>
          <w:p w:rsidR="00AF481F" w:rsidRPr="00F61289" w:rsidRDefault="00F27A95" w:rsidP="00AF481F">
            <w:pPr>
              <w:jc w:val="center"/>
              <w:rPr>
                <w:rFonts w:ascii="Arial" w:hAnsi="Arial" w:cs="Arial"/>
                <w:color w:val="000000"/>
                <w:sz w:val="16"/>
                <w:szCs w:val="16"/>
              </w:rPr>
            </w:pPr>
            <w:r>
              <w:rPr>
                <w:rFonts w:ascii="Arial" w:hAnsi="Arial" w:cs="Arial"/>
                <w:color w:val="000000"/>
                <w:sz w:val="16"/>
                <w:szCs w:val="16"/>
              </w:rPr>
              <w:t>960 ml</w:t>
            </w:r>
          </w:p>
        </w:tc>
      </w:tr>
      <w:tr w:rsidR="00AF481F" w:rsidRPr="00F61289" w:rsidTr="00DD08A6">
        <w:trPr>
          <w:trHeight w:val="61"/>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p>
        </w:tc>
      </w:tr>
      <w:tr w:rsidR="00AF481F" w:rsidRPr="00F61289" w:rsidTr="00DD08A6">
        <w:trPr>
          <w:trHeight w:val="187"/>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 xml:space="preserve">Methylphenidate Tablets </w:t>
            </w:r>
            <w:r>
              <w:rPr>
                <w:rFonts w:ascii="Arial" w:hAnsi="Arial" w:cs="Arial"/>
                <w:b/>
                <w:bCs/>
                <w:color w:val="000000"/>
                <w:sz w:val="16"/>
                <w:szCs w:val="16"/>
              </w:rPr>
              <w:t xml:space="preserve">(e.g., Metadate® ER or Ritalin® SR) </w:t>
            </w:r>
            <w:r w:rsidRPr="00F61289">
              <w:rPr>
                <w:rFonts w:ascii="Arial" w:hAnsi="Arial" w:cs="Arial"/>
                <w:b/>
                <w:bCs/>
                <w:color w:val="000000"/>
                <w:sz w:val="16"/>
                <w:szCs w:val="16"/>
              </w:rPr>
              <w:t xml:space="preserve">EXTENDED RELEASE </w:t>
            </w:r>
            <w:r w:rsidR="00AA40D6">
              <w:rPr>
                <w:rFonts w:ascii="Arial" w:hAnsi="Arial" w:cs="Arial"/>
                <w:b/>
                <w:bCs/>
                <w:color w:val="000000"/>
                <w:sz w:val="16"/>
                <w:szCs w:val="16"/>
              </w:rPr>
              <w:t>Medicaid Max Daily Dose = 60 mg</w:t>
            </w:r>
          </w:p>
        </w:tc>
      </w:tr>
      <w:tr w:rsidR="00AF481F" w:rsidRPr="00F61289" w:rsidTr="00DD08A6">
        <w:trPr>
          <w:trHeight w:val="52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 xml:space="preserve">DRUG NAME </w:t>
            </w:r>
            <w:r w:rsidR="00AF481F" w:rsidRPr="00F61289">
              <w:rPr>
                <w:rFonts w:ascii="Arial" w:hAnsi="Arial" w:cs="Arial"/>
                <w:b/>
                <w:bCs/>
                <w:color w:val="000000"/>
                <w:sz w:val="16"/>
                <w:szCs w:val="16"/>
              </w:rPr>
              <w:t>(Metadate</w:t>
            </w:r>
            <w:r w:rsidR="00AF481F">
              <w:rPr>
                <w:rFonts w:ascii="Arial" w:hAnsi="Arial" w:cs="Arial"/>
                <w:b/>
                <w:bCs/>
                <w:color w:val="000000"/>
                <w:sz w:val="16"/>
                <w:szCs w:val="16"/>
              </w:rPr>
              <w:t>®</w:t>
            </w:r>
            <w:r w:rsidR="00AF481F" w:rsidRPr="00F61289">
              <w:rPr>
                <w:rFonts w:ascii="Arial" w:hAnsi="Arial" w:cs="Arial"/>
                <w:b/>
                <w:bCs/>
                <w:color w:val="000000"/>
                <w:sz w:val="16"/>
                <w:szCs w:val="16"/>
              </w:rPr>
              <w:t xml:space="preserve"> ER or Ritalin</w:t>
            </w:r>
            <w:r w:rsidR="00AF481F">
              <w:rPr>
                <w:rFonts w:ascii="Arial" w:hAnsi="Arial" w:cs="Arial"/>
                <w:b/>
                <w:bCs/>
                <w:color w:val="000000"/>
                <w:sz w:val="16"/>
                <w:szCs w:val="16"/>
              </w:rPr>
              <w:t>®</w:t>
            </w:r>
            <w:r w:rsidR="00AF481F" w:rsidRPr="00F61289">
              <w:rPr>
                <w:rFonts w:ascii="Arial" w:hAnsi="Arial" w:cs="Arial"/>
                <w:b/>
                <w:bCs/>
                <w:color w:val="000000"/>
                <w:sz w:val="16"/>
                <w:szCs w:val="16"/>
              </w:rPr>
              <w:t xml:space="preserve"> SR</w:t>
            </w:r>
            <w:r>
              <w:rPr>
                <w:rFonts w:ascii="Arial" w:hAnsi="Arial" w:cs="Arial"/>
                <w:b/>
                <w:bCs/>
                <w:color w:val="000000"/>
                <w:sz w:val="16"/>
                <w:szCs w:val="16"/>
              </w:rPr>
              <w:t xml:space="preserve"> </w:t>
            </w:r>
            <w:r w:rsidR="00AF481F" w:rsidRPr="00F61289">
              <w:rPr>
                <w:rFonts w:ascii="Arial" w:hAnsi="Arial" w:cs="Arial"/>
                <w:b/>
                <w:bCs/>
                <w:color w:val="000000"/>
                <w:sz w:val="16"/>
                <w:szCs w:val="16"/>
              </w:rPr>
              <w:t>= 8 HR DURATION)</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Pr>
                <w:rFonts w:ascii="Arial" w:hAnsi="Arial" w:cs="Arial"/>
                <w:b/>
                <w:bCs/>
                <w:color w:val="000000"/>
                <w:sz w:val="16"/>
                <w:szCs w:val="16"/>
              </w:rPr>
              <w:t xml:space="preserve">MEDICAID MONTHLY MAX </w:t>
            </w:r>
            <w:r w:rsidRPr="00F61289">
              <w:rPr>
                <w:rFonts w:ascii="Arial" w:hAnsi="Arial" w:cs="Arial"/>
                <w:b/>
                <w:bCs/>
                <w:color w:val="000000"/>
                <w:sz w:val="16"/>
                <w:szCs w:val="16"/>
              </w:rPr>
              <w:t>CUMULATIVE QTY</w:t>
            </w:r>
          </w:p>
        </w:tc>
      </w:tr>
      <w:tr w:rsidR="00AF481F" w:rsidRPr="00F61289" w:rsidTr="00DD08A6">
        <w:trPr>
          <w:trHeight w:val="107"/>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Metadate (Methylphenidate) </w:t>
            </w:r>
            <w:r w:rsidRPr="0012456B">
              <w:rPr>
                <w:rFonts w:ascii="Arial" w:hAnsi="Arial" w:cs="Arial"/>
                <w:bCs/>
                <w:color w:val="000000"/>
                <w:sz w:val="16"/>
                <w:szCs w:val="16"/>
              </w:rPr>
              <w:t>ER</w:t>
            </w:r>
            <w:r w:rsidRPr="00F61289">
              <w:rPr>
                <w:rFonts w:ascii="Arial" w:hAnsi="Arial" w:cs="Arial"/>
                <w:color w:val="000000"/>
                <w:sz w:val="16"/>
                <w:szCs w:val="16"/>
              </w:rPr>
              <w:t xml:space="preserve"> or Ritalin SR 10</w:t>
            </w:r>
            <w:r>
              <w:rPr>
                <w:rFonts w:ascii="Arial" w:hAnsi="Arial" w:cs="Arial"/>
                <w:color w:val="000000"/>
                <w:sz w:val="16"/>
                <w:szCs w:val="16"/>
              </w:rPr>
              <w:t xml:space="preserve"> </w:t>
            </w:r>
            <w:r w:rsidRPr="00F61289">
              <w:rPr>
                <w:rFonts w:ascii="Arial" w:hAnsi="Arial" w:cs="Arial"/>
                <w:color w:val="000000"/>
                <w:sz w:val="16"/>
                <w:szCs w:val="16"/>
              </w:rPr>
              <w:t>mg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80"/>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xml:space="preserve">Metadate (Methylphenidate) </w:t>
            </w:r>
            <w:r w:rsidRPr="0012456B">
              <w:rPr>
                <w:rFonts w:ascii="Arial" w:hAnsi="Arial" w:cs="Arial"/>
                <w:bCs/>
                <w:color w:val="000000"/>
                <w:sz w:val="16"/>
                <w:szCs w:val="16"/>
              </w:rPr>
              <w:t>ER</w:t>
            </w:r>
            <w:r w:rsidRPr="00F61289">
              <w:rPr>
                <w:rFonts w:ascii="Arial" w:hAnsi="Arial" w:cs="Arial"/>
                <w:color w:val="000000"/>
                <w:sz w:val="16"/>
                <w:szCs w:val="16"/>
              </w:rPr>
              <w:t xml:space="preserve"> or Ritalin S</w:t>
            </w:r>
            <w:r>
              <w:rPr>
                <w:rFonts w:ascii="Arial" w:hAnsi="Arial" w:cs="Arial"/>
                <w:color w:val="000000"/>
                <w:sz w:val="16"/>
                <w:szCs w:val="16"/>
              </w:rPr>
              <w:t>R</w:t>
            </w:r>
            <w:r w:rsidRPr="00F61289">
              <w:rPr>
                <w:rFonts w:ascii="Arial" w:hAnsi="Arial" w:cs="Arial"/>
                <w:color w:val="000000"/>
                <w:sz w:val="16"/>
                <w:szCs w:val="16"/>
              </w:rPr>
              <w:t xml:space="preserve"> 20</w:t>
            </w:r>
            <w:r>
              <w:rPr>
                <w:rFonts w:ascii="Arial" w:hAnsi="Arial" w:cs="Arial"/>
                <w:color w:val="000000"/>
                <w:sz w:val="16"/>
                <w:szCs w:val="16"/>
              </w:rPr>
              <w:t xml:space="preserve"> </w:t>
            </w:r>
            <w:r w:rsidR="00AA40D6">
              <w:rPr>
                <w:rFonts w:ascii="Arial" w:hAnsi="Arial" w:cs="Arial"/>
                <w:color w:val="000000"/>
                <w:sz w:val="16"/>
                <w:szCs w:val="16"/>
              </w:rPr>
              <w:t>mg Tablet</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260" w:type="dxa"/>
            <w:gridSpan w:val="2"/>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w:t>
            </w:r>
          </w:p>
        </w:tc>
        <w:tc>
          <w:tcPr>
            <w:tcW w:w="1530" w:type="dxa"/>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93</w:t>
            </w:r>
          </w:p>
        </w:tc>
      </w:tr>
      <w:tr w:rsidR="00AF481F" w:rsidRPr="00F61289" w:rsidTr="00DD08A6">
        <w:trPr>
          <w:trHeight w:val="46"/>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p>
        </w:tc>
      </w:tr>
      <w:tr w:rsidR="00AF481F" w:rsidRPr="00F61289" w:rsidTr="00DD08A6">
        <w:trPr>
          <w:trHeight w:val="223"/>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 xml:space="preserve">Methylphenidate Tablets </w:t>
            </w:r>
            <w:r>
              <w:rPr>
                <w:rFonts w:ascii="Arial" w:hAnsi="Arial" w:cs="Arial"/>
                <w:b/>
                <w:bCs/>
                <w:color w:val="000000"/>
                <w:sz w:val="16"/>
                <w:szCs w:val="16"/>
              </w:rPr>
              <w:t xml:space="preserve">(e.g., Concerta®) </w:t>
            </w:r>
            <w:r w:rsidRPr="00F61289">
              <w:rPr>
                <w:rFonts w:ascii="Arial" w:hAnsi="Arial" w:cs="Arial"/>
                <w:b/>
                <w:bCs/>
                <w:color w:val="000000"/>
                <w:sz w:val="16"/>
                <w:szCs w:val="16"/>
              </w:rPr>
              <w:t xml:space="preserve">EXTENDED RELEASE </w:t>
            </w:r>
            <w:r w:rsidR="00AA40D6">
              <w:rPr>
                <w:rFonts w:ascii="Arial" w:hAnsi="Arial" w:cs="Arial"/>
                <w:b/>
                <w:bCs/>
                <w:color w:val="000000"/>
                <w:sz w:val="16"/>
                <w:szCs w:val="16"/>
              </w:rPr>
              <w:t>Medicaid Max Daily Dose = 54 mg</w:t>
            </w:r>
          </w:p>
        </w:tc>
      </w:tr>
      <w:tr w:rsidR="00AF481F" w:rsidRPr="00F61289" w:rsidTr="00DD08A6">
        <w:trPr>
          <w:trHeight w:val="547"/>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 xml:space="preserve">DRUG NAME </w:t>
            </w:r>
            <w:r w:rsidR="00AF481F" w:rsidRPr="00F61289">
              <w:rPr>
                <w:rFonts w:ascii="Arial" w:hAnsi="Arial" w:cs="Arial"/>
                <w:b/>
                <w:bCs/>
                <w:color w:val="000000"/>
                <w:sz w:val="16"/>
                <w:szCs w:val="16"/>
              </w:rPr>
              <w:t>(</w:t>
            </w:r>
            <w:r w:rsidR="00AF481F" w:rsidRPr="00CA743C">
              <w:rPr>
                <w:rFonts w:ascii="Arial" w:hAnsi="Arial" w:cs="Arial"/>
                <w:b/>
                <w:color w:val="000000"/>
                <w:sz w:val="16"/>
                <w:szCs w:val="16"/>
              </w:rPr>
              <w:t>Concerta®</w:t>
            </w:r>
            <w:r w:rsidR="00AF481F" w:rsidRPr="00F61289">
              <w:rPr>
                <w:rFonts w:ascii="Arial" w:hAnsi="Arial" w:cs="Arial"/>
                <w:b/>
                <w:bCs/>
                <w:color w:val="000000"/>
                <w:sz w:val="16"/>
                <w:szCs w:val="16"/>
              </w:rPr>
              <w:t xml:space="preserve"> = 12 HR DURATION)</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AA40D6">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 CUMULATIVE QTY</w:t>
            </w:r>
          </w:p>
        </w:tc>
      </w:tr>
      <w:tr w:rsidR="00AF481F" w:rsidRPr="00F61289" w:rsidTr="00DD08A6">
        <w:trPr>
          <w:trHeight w:val="89"/>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Sa (E.G. Concerta</w:t>
            </w:r>
            <w:r>
              <w:rPr>
                <w:rFonts w:ascii="Arial" w:hAnsi="Arial" w:cs="Arial"/>
                <w:color w:val="000000"/>
                <w:sz w:val="16"/>
                <w:szCs w:val="16"/>
              </w:rPr>
              <w:t>®</w:t>
            </w:r>
            <w:r w:rsidRPr="00F61289">
              <w:rPr>
                <w:rFonts w:ascii="Arial" w:hAnsi="Arial" w:cs="Arial"/>
                <w:color w:val="000000"/>
                <w:sz w:val="16"/>
                <w:szCs w:val="16"/>
              </w:rPr>
              <w:t>) 18</w:t>
            </w:r>
            <w:r>
              <w:rPr>
                <w:rFonts w:ascii="Arial" w:hAnsi="Arial" w:cs="Arial"/>
                <w:color w:val="000000"/>
                <w:sz w:val="16"/>
                <w:szCs w:val="16"/>
              </w:rPr>
              <w:t xml:space="preserve"> </w:t>
            </w:r>
            <w:r w:rsidRPr="00F61289">
              <w:rPr>
                <w:rFonts w:ascii="Arial" w:hAnsi="Arial" w:cs="Arial"/>
                <w:color w:val="000000"/>
                <w:sz w:val="16"/>
                <w:szCs w:val="16"/>
              </w:rPr>
              <w:t>mg Tablet S</w:t>
            </w:r>
            <w:r>
              <w:rPr>
                <w:rFonts w:ascii="Arial" w:hAnsi="Arial" w:cs="Arial"/>
                <w:color w:val="000000"/>
                <w:sz w:val="16"/>
                <w:szCs w:val="16"/>
              </w:rPr>
              <w:t>A</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18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70"/>
        </w:trPr>
        <w:tc>
          <w:tcPr>
            <w:tcW w:w="496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Sa (E.G. Concerta</w:t>
            </w:r>
            <w:r>
              <w:rPr>
                <w:rFonts w:ascii="Arial" w:hAnsi="Arial" w:cs="Arial"/>
                <w:color w:val="000000"/>
                <w:sz w:val="16"/>
                <w:szCs w:val="16"/>
              </w:rPr>
              <w:t>®</w:t>
            </w:r>
            <w:r w:rsidRPr="00F61289">
              <w:rPr>
                <w:rFonts w:ascii="Arial" w:hAnsi="Arial" w:cs="Arial"/>
                <w:color w:val="000000"/>
                <w:sz w:val="16"/>
                <w:szCs w:val="16"/>
              </w:rPr>
              <w:t>) 27</w:t>
            </w:r>
            <w:r>
              <w:rPr>
                <w:rFonts w:ascii="Arial" w:hAnsi="Arial" w:cs="Arial"/>
                <w:color w:val="000000"/>
                <w:sz w:val="16"/>
                <w:szCs w:val="16"/>
              </w:rPr>
              <w:t xml:space="preserve"> </w:t>
            </w:r>
            <w:r w:rsidRPr="00F61289">
              <w:rPr>
                <w:rFonts w:ascii="Arial" w:hAnsi="Arial" w:cs="Arial"/>
                <w:color w:val="000000"/>
                <w:sz w:val="16"/>
                <w:szCs w:val="16"/>
              </w:rPr>
              <w:t>mg Tablet S</w:t>
            </w:r>
            <w:r>
              <w:rPr>
                <w:rFonts w:ascii="Arial" w:hAnsi="Arial" w:cs="Arial"/>
                <w:color w:val="000000"/>
                <w:sz w:val="16"/>
                <w:szCs w:val="16"/>
              </w:rPr>
              <w:t>A</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27 mg</w:t>
            </w:r>
          </w:p>
        </w:tc>
        <w:tc>
          <w:tcPr>
            <w:tcW w:w="1260" w:type="dxa"/>
            <w:gridSpan w:val="2"/>
            <w:tcBorders>
              <w:top w:val="single" w:sz="4" w:space="0" w:color="auto"/>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single" w:sz="4" w:space="0" w:color="auto"/>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6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Sa (E.G. Concerta</w:t>
            </w:r>
            <w:r>
              <w:rPr>
                <w:rFonts w:ascii="Arial" w:hAnsi="Arial" w:cs="Arial"/>
                <w:color w:val="000000"/>
                <w:sz w:val="16"/>
                <w:szCs w:val="16"/>
              </w:rPr>
              <w:t>®</w:t>
            </w:r>
            <w:r w:rsidRPr="00F61289">
              <w:rPr>
                <w:rFonts w:ascii="Arial" w:hAnsi="Arial" w:cs="Arial"/>
                <w:color w:val="000000"/>
                <w:sz w:val="16"/>
                <w:szCs w:val="16"/>
              </w:rPr>
              <w:t>) 36</w:t>
            </w:r>
            <w:r>
              <w:rPr>
                <w:rFonts w:ascii="Arial" w:hAnsi="Arial" w:cs="Arial"/>
                <w:color w:val="000000"/>
                <w:sz w:val="16"/>
                <w:szCs w:val="16"/>
              </w:rPr>
              <w:t xml:space="preserve"> </w:t>
            </w:r>
            <w:r w:rsidRPr="00F61289">
              <w:rPr>
                <w:rFonts w:ascii="Arial" w:hAnsi="Arial" w:cs="Arial"/>
                <w:color w:val="000000"/>
                <w:sz w:val="16"/>
                <w:szCs w:val="16"/>
              </w:rPr>
              <w:t>mg Tablet S</w:t>
            </w:r>
            <w:r>
              <w:rPr>
                <w:rFonts w:ascii="Arial" w:hAnsi="Arial" w:cs="Arial"/>
                <w:color w:val="000000"/>
                <w:sz w:val="16"/>
                <w:szCs w:val="16"/>
              </w:rPr>
              <w:t>A</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36 mg</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56"/>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Methylphenidate Sa (E.G. Concerta</w:t>
            </w:r>
            <w:r>
              <w:rPr>
                <w:rFonts w:ascii="Arial" w:hAnsi="Arial" w:cs="Arial"/>
                <w:color w:val="000000"/>
                <w:sz w:val="16"/>
                <w:szCs w:val="16"/>
              </w:rPr>
              <w:t>®</w:t>
            </w:r>
            <w:r w:rsidRPr="00F61289">
              <w:rPr>
                <w:rFonts w:ascii="Arial" w:hAnsi="Arial" w:cs="Arial"/>
                <w:color w:val="000000"/>
                <w:sz w:val="16"/>
                <w:szCs w:val="16"/>
              </w:rPr>
              <w:t>) 54</w:t>
            </w:r>
            <w:r>
              <w:rPr>
                <w:rFonts w:ascii="Arial" w:hAnsi="Arial" w:cs="Arial"/>
                <w:color w:val="000000"/>
                <w:sz w:val="16"/>
                <w:szCs w:val="16"/>
              </w:rPr>
              <w:t xml:space="preserve"> </w:t>
            </w:r>
            <w:r w:rsidRPr="00F61289">
              <w:rPr>
                <w:rFonts w:ascii="Arial" w:hAnsi="Arial" w:cs="Arial"/>
                <w:color w:val="000000"/>
                <w:sz w:val="16"/>
                <w:szCs w:val="16"/>
              </w:rPr>
              <w:t>mg Tablet S</w:t>
            </w:r>
            <w:r>
              <w:rPr>
                <w:rFonts w:ascii="Arial" w:hAnsi="Arial" w:cs="Arial"/>
                <w:color w:val="000000"/>
                <w:sz w:val="16"/>
                <w:szCs w:val="16"/>
              </w:rPr>
              <w:t>A</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54 mg</w:t>
            </w:r>
          </w:p>
        </w:tc>
        <w:tc>
          <w:tcPr>
            <w:tcW w:w="1260" w:type="dxa"/>
            <w:gridSpan w:val="2"/>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24"/>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 </w:t>
            </w:r>
          </w:p>
        </w:tc>
      </w:tr>
      <w:tr w:rsidR="00AF481F" w:rsidRPr="00F61289" w:rsidTr="00DD08A6">
        <w:trPr>
          <w:trHeight w:val="178"/>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Methylphenidate Capsules</w:t>
            </w:r>
            <w:r>
              <w:rPr>
                <w:rFonts w:ascii="Arial" w:hAnsi="Arial" w:cs="Arial"/>
                <w:b/>
                <w:bCs/>
                <w:color w:val="000000"/>
                <w:sz w:val="16"/>
                <w:szCs w:val="16"/>
              </w:rPr>
              <w:t xml:space="preserve"> (e.g., Metadate CD™)</w:t>
            </w:r>
            <w:r w:rsidRPr="00F61289">
              <w:rPr>
                <w:rFonts w:ascii="Arial" w:hAnsi="Arial" w:cs="Arial"/>
                <w:b/>
                <w:bCs/>
                <w:color w:val="000000"/>
                <w:sz w:val="16"/>
                <w:szCs w:val="16"/>
              </w:rPr>
              <w:t xml:space="preserve"> EXTENDED RELEASE </w:t>
            </w:r>
            <w:r w:rsidR="00EE46CB">
              <w:rPr>
                <w:rFonts w:ascii="Arial" w:hAnsi="Arial" w:cs="Arial"/>
                <w:b/>
                <w:bCs/>
                <w:color w:val="000000"/>
                <w:sz w:val="16"/>
                <w:szCs w:val="16"/>
              </w:rPr>
              <w:t>Medicaid Max Daily Dose = 60 mg</w:t>
            </w:r>
          </w:p>
        </w:tc>
      </w:tr>
      <w:tr w:rsidR="00AF481F" w:rsidRPr="00F61289" w:rsidTr="00DD08A6">
        <w:trPr>
          <w:trHeight w:val="58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EE46CB" w:rsidRDefault="008261D6" w:rsidP="00EE46CB">
            <w:pPr>
              <w:rPr>
                <w:rFonts w:ascii="Arial" w:hAnsi="Arial" w:cs="Arial"/>
                <w:color w:val="000000"/>
                <w:sz w:val="16"/>
                <w:szCs w:val="16"/>
              </w:rPr>
            </w:pPr>
            <w:r w:rsidRPr="00F61289">
              <w:rPr>
                <w:rFonts w:ascii="Arial" w:hAnsi="Arial" w:cs="Arial"/>
                <w:b/>
                <w:bCs/>
                <w:color w:val="000000"/>
                <w:sz w:val="16"/>
                <w:szCs w:val="16"/>
              </w:rPr>
              <w:t xml:space="preserve">DRUG NAME </w:t>
            </w:r>
            <w:r w:rsidR="00AF481F" w:rsidRPr="00F61289">
              <w:rPr>
                <w:rFonts w:ascii="Arial" w:hAnsi="Arial" w:cs="Arial"/>
                <w:b/>
                <w:bCs/>
                <w:color w:val="000000"/>
                <w:sz w:val="16"/>
                <w:szCs w:val="16"/>
              </w:rPr>
              <w:t xml:space="preserve">(Metadate CD = 9-12 </w:t>
            </w:r>
            <w:r w:rsidR="00AF481F">
              <w:rPr>
                <w:rFonts w:ascii="Arial" w:hAnsi="Arial" w:cs="Arial"/>
                <w:b/>
                <w:bCs/>
                <w:color w:val="000000"/>
                <w:sz w:val="16"/>
                <w:szCs w:val="16"/>
              </w:rPr>
              <w:t>HR</w:t>
            </w:r>
            <w:r w:rsidR="00AF481F" w:rsidRPr="00F61289">
              <w:rPr>
                <w:rFonts w:ascii="Arial" w:hAnsi="Arial" w:cs="Arial"/>
                <w:b/>
                <w:bCs/>
                <w:color w:val="000000"/>
                <w:sz w:val="16"/>
                <w:szCs w:val="16"/>
              </w:rPr>
              <w:t xml:space="preserve"> DURATION</w:t>
            </w:r>
            <w:r w:rsidR="008A673B">
              <w:rPr>
                <w:rFonts w:ascii="Arial" w:hAnsi="Arial" w:cs="Arial"/>
                <w:b/>
                <w:bCs/>
                <w:color w:val="000000"/>
                <w:sz w:val="16"/>
                <w:szCs w:val="16"/>
              </w:rPr>
              <w:t>)</w:t>
            </w:r>
          </w:p>
          <w:p w:rsidR="00AF481F" w:rsidRPr="00F61289" w:rsidRDefault="00AF481F" w:rsidP="00EE46CB">
            <w:pPr>
              <w:rPr>
                <w:rFonts w:ascii="Arial" w:hAnsi="Arial" w:cs="Arial"/>
                <w:b/>
                <w:bCs/>
                <w:color w:val="000000"/>
                <w:sz w:val="16"/>
                <w:szCs w:val="16"/>
              </w:rPr>
            </w:pPr>
            <w:r w:rsidRPr="002F2F57">
              <w:rPr>
                <w:rFonts w:ascii="Arial" w:hAnsi="Arial" w:cs="Arial"/>
                <w:color w:val="000000"/>
                <w:sz w:val="12"/>
                <w:szCs w:val="12"/>
              </w:rPr>
              <w:t>(The extended-release capsules are comprised of both</w:t>
            </w:r>
            <w:r>
              <w:rPr>
                <w:rFonts w:ascii="Arial" w:hAnsi="Arial" w:cs="Arial"/>
                <w:color w:val="000000"/>
                <w:sz w:val="12"/>
                <w:szCs w:val="12"/>
              </w:rPr>
              <w:t xml:space="preserve"> </w:t>
            </w:r>
            <w:r w:rsidRPr="002F2F57">
              <w:rPr>
                <w:rFonts w:ascii="Arial" w:hAnsi="Arial" w:cs="Arial"/>
                <w:color w:val="000000"/>
                <w:sz w:val="12"/>
                <w:szCs w:val="12"/>
              </w:rPr>
              <w:t xml:space="preserve"> immediate-release (IR) and extended-release (ER) beads such that 30% of the dose is provided by the IR component and 70% of the dose is provided by the ER component.</w:t>
            </w:r>
            <w:r w:rsidR="008261D6">
              <w:rPr>
                <w:rFonts w:ascii="Arial" w:hAnsi="Arial" w:cs="Arial"/>
                <w:color w:val="000000"/>
                <w:sz w:val="12"/>
                <w:szCs w:val="12"/>
              </w:rPr>
              <w: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260" w:type="dxa"/>
            <w:gridSpan w:val="2"/>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71"/>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Metadate </w:t>
            </w:r>
            <w:r w:rsidRPr="00CA743C">
              <w:rPr>
                <w:rFonts w:ascii="Arial" w:hAnsi="Arial" w:cs="Arial"/>
                <w:bCs/>
                <w:color w:val="000000"/>
                <w:sz w:val="16"/>
                <w:szCs w:val="16"/>
              </w:rPr>
              <w:t>CD™</w:t>
            </w:r>
            <w:r w:rsidRPr="00F61289">
              <w:rPr>
                <w:rFonts w:ascii="Arial" w:hAnsi="Arial" w:cs="Arial"/>
                <w:color w:val="000000"/>
                <w:sz w:val="16"/>
                <w:szCs w:val="16"/>
              </w:rPr>
              <w:t xml:space="preserve"> 10</w:t>
            </w:r>
            <w:r w:rsidR="008261D6" w:rsidRPr="00F61289">
              <w:rPr>
                <w:rFonts w:ascii="Arial" w:hAnsi="Arial" w:cs="Arial"/>
                <w:color w:val="000000"/>
                <w:sz w:val="16"/>
                <w:szCs w:val="16"/>
              </w:rPr>
              <w:t xml:space="preserve"> mg </w:t>
            </w:r>
            <w:r w:rsidRPr="00F61289">
              <w:rPr>
                <w:rFonts w:ascii="Arial" w:hAnsi="Arial" w:cs="Arial"/>
                <w:color w:val="000000"/>
                <w:sz w:val="16"/>
                <w:szCs w:val="16"/>
              </w:rPr>
              <w:t xml:space="preserve"> Capsule </w:t>
            </w:r>
            <w:r>
              <w:rPr>
                <w:rFonts w:ascii="Arial" w:hAnsi="Arial" w:cs="Arial"/>
                <w:color w:val="000000"/>
                <w:sz w:val="16"/>
                <w:szCs w:val="16"/>
              </w:rPr>
              <w:t xml:space="preserve">      </w:t>
            </w:r>
            <w:r w:rsidRPr="002F2F57">
              <w:rPr>
                <w:rFonts w:ascii="Arial" w:hAnsi="Arial" w:cs="Arial"/>
                <w:color w:val="000000"/>
                <w:sz w:val="12"/>
                <w:szCs w:val="12"/>
              </w:rPr>
              <w:t>(3 mg IR; 7 mg ER)</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4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Metadate </w:t>
            </w:r>
            <w:r w:rsidRPr="00CA743C">
              <w:rPr>
                <w:rFonts w:ascii="Arial" w:hAnsi="Arial" w:cs="Arial"/>
                <w:bCs/>
                <w:color w:val="000000"/>
                <w:sz w:val="16"/>
                <w:szCs w:val="16"/>
              </w:rPr>
              <w:t>CD™</w:t>
            </w:r>
            <w:r w:rsidRPr="00F61289">
              <w:rPr>
                <w:rFonts w:ascii="Arial" w:hAnsi="Arial" w:cs="Arial"/>
                <w:color w:val="000000"/>
                <w:sz w:val="16"/>
                <w:szCs w:val="16"/>
              </w:rPr>
              <w:t xml:space="preserve"> 20</w:t>
            </w:r>
            <w:r w:rsidR="008261D6" w:rsidRPr="00F61289">
              <w:rPr>
                <w:rFonts w:ascii="Arial" w:hAnsi="Arial" w:cs="Arial"/>
                <w:color w:val="000000"/>
                <w:sz w:val="16"/>
                <w:szCs w:val="16"/>
              </w:rPr>
              <w:t xml:space="preserve"> mg </w:t>
            </w:r>
            <w:r w:rsidRPr="00F61289">
              <w:rPr>
                <w:rFonts w:ascii="Arial" w:hAnsi="Arial" w:cs="Arial"/>
                <w:color w:val="000000"/>
                <w:sz w:val="16"/>
                <w:szCs w:val="16"/>
              </w:rPr>
              <w:t xml:space="preserve"> Capsule  </w:t>
            </w:r>
            <w:r>
              <w:rPr>
                <w:rFonts w:ascii="Arial" w:hAnsi="Arial" w:cs="Arial"/>
                <w:color w:val="000000"/>
                <w:sz w:val="16"/>
                <w:szCs w:val="16"/>
              </w:rPr>
              <w:t xml:space="preserve">     (</w:t>
            </w:r>
            <w:r w:rsidRPr="002F2F57">
              <w:rPr>
                <w:rFonts w:ascii="Arial" w:hAnsi="Arial" w:cs="Arial"/>
                <w:color w:val="000000"/>
                <w:sz w:val="12"/>
                <w:szCs w:val="12"/>
              </w:rPr>
              <w:t>6 mg IR; 14 mg ER)</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07"/>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Metadate CD™ </w:t>
            </w:r>
            <w:r w:rsidRPr="00F61289">
              <w:rPr>
                <w:rFonts w:ascii="Arial" w:hAnsi="Arial" w:cs="Arial"/>
                <w:color w:val="000000"/>
                <w:sz w:val="16"/>
                <w:szCs w:val="16"/>
              </w:rPr>
              <w:t>30</w:t>
            </w:r>
            <w:r w:rsidR="008261D6" w:rsidRPr="00F61289">
              <w:rPr>
                <w:rFonts w:ascii="Arial" w:hAnsi="Arial" w:cs="Arial"/>
                <w:color w:val="000000"/>
                <w:sz w:val="16"/>
                <w:szCs w:val="16"/>
              </w:rPr>
              <w:t xml:space="preserve"> mg </w:t>
            </w:r>
            <w:r w:rsidRPr="00F61289">
              <w:rPr>
                <w:rFonts w:ascii="Arial" w:hAnsi="Arial" w:cs="Arial"/>
                <w:color w:val="000000"/>
                <w:sz w:val="16"/>
                <w:szCs w:val="16"/>
              </w:rPr>
              <w:t xml:space="preserve"> Capsule </w:t>
            </w:r>
            <w:r>
              <w:rPr>
                <w:rFonts w:ascii="Arial" w:hAnsi="Arial" w:cs="Arial"/>
                <w:color w:val="000000"/>
                <w:sz w:val="16"/>
                <w:szCs w:val="16"/>
              </w:rPr>
              <w:t xml:space="preserve">      </w:t>
            </w:r>
            <w:r w:rsidRPr="002F2F57">
              <w:rPr>
                <w:rFonts w:ascii="Arial" w:hAnsi="Arial" w:cs="Arial"/>
                <w:color w:val="000000"/>
                <w:sz w:val="12"/>
                <w:szCs w:val="12"/>
              </w:rPr>
              <w:t>(9 mg IR; 21 mg ER)</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79"/>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Metadate CD™ </w:t>
            </w:r>
            <w:r w:rsidRPr="00F61289">
              <w:rPr>
                <w:rFonts w:ascii="Arial" w:hAnsi="Arial" w:cs="Arial"/>
                <w:color w:val="000000"/>
                <w:sz w:val="16"/>
                <w:szCs w:val="16"/>
              </w:rPr>
              <w:t>40</w:t>
            </w:r>
            <w:r w:rsidR="008261D6" w:rsidRPr="00F61289">
              <w:rPr>
                <w:rFonts w:ascii="Arial" w:hAnsi="Arial" w:cs="Arial"/>
                <w:color w:val="000000"/>
                <w:sz w:val="16"/>
                <w:szCs w:val="16"/>
              </w:rPr>
              <w:t xml:space="preserve"> mg </w:t>
            </w:r>
            <w:r w:rsidRPr="00F61289">
              <w:rPr>
                <w:rFonts w:ascii="Arial" w:hAnsi="Arial" w:cs="Arial"/>
                <w:color w:val="000000"/>
                <w:sz w:val="16"/>
                <w:szCs w:val="16"/>
              </w:rPr>
              <w:t xml:space="preserve"> Capsule </w:t>
            </w:r>
            <w:r>
              <w:rPr>
                <w:rFonts w:ascii="Arial" w:hAnsi="Arial" w:cs="Arial"/>
                <w:color w:val="000000"/>
                <w:sz w:val="16"/>
                <w:szCs w:val="16"/>
              </w:rPr>
              <w:t xml:space="preserve">      </w:t>
            </w:r>
            <w:r w:rsidRPr="002F2F57">
              <w:rPr>
                <w:rFonts w:ascii="Arial" w:hAnsi="Arial" w:cs="Arial"/>
                <w:color w:val="000000"/>
                <w:sz w:val="12"/>
                <w:szCs w:val="12"/>
              </w:rPr>
              <w:t>(12 mg IR; 28 mg ER)</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Metadate CD™ </w:t>
            </w:r>
            <w:r w:rsidRPr="00F61289">
              <w:rPr>
                <w:rFonts w:ascii="Arial" w:hAnsi="Arial" w:cs="Arial"/>
                <w:color w:val="000000"/>
                <w:sz w:val="16"/>
                <w:szCs w:val="16"/>
              </w:rPr>
              <w:t>50</w:t>
            </w:r>
            <w:r w:rsidR="008261D6" w:rsidRPr="00F61289">
              <w:rPr>
                <w:rFonts w:ascii="Arial" w:hAnsi="Arial" w:cs="Arial"/>
                <w:color w:val="000000"/>
                <w:sz w:val="16"/>
                <w:szCs w:val="16"/>
              </w:rPr>
              <w:t xml:space="preserve"> mg </w:t>
            </w:r>
            <w:r w:rsidRPr="00F61289">
              <w:rPr>
                <w:rFonts w:ascii="Arial" w:hAnsi="Arial" w:cs="Arial"/>
                <w:color w:val="000000"/>
                <w:sz w:val="16"/>
                <w:szCs w:val="16"/>
              </w:rPr>
              <w:t xml:space="preserve"> Capsule</w:t>
            </w:r>
            <w:r>
              <w:rPr>
                <w:rFonts w:ascii="Arial" w:hAnsi="Arial" w:cs="Arial"/>
                <w:color w:val="000000"/>
                <w:sz w:val="16"/>
                <w:szCs w:val="16"/>
              </w:rPr>
              <w:t xml:space="preserve">       </w:t>
            </w:r>
            <w:r w:rsidRPr="002F2F57">
              <w:rPr>
                <w:rFonts w:ascii="Arial" w:hAnsi="Arial" w:cs="Arial"/>
                <w:color w:val="000000"/>
                <w:sz w:val="12"/>
                <w:szCs w:val="12"/>
              </w:rPr>
              <w:t>(15 mg IR; 35 mg ER)</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40 mg</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3C4C3D">
        <w:trPr>
          <w:trHeight w:val="134"/>
        </w:trPr>
        <w:tc>
          <w:tcPr>
            <w:tcW w:w="4965" w:type="dxa"/>
            <w:tcBorders>
              <w:top w:val="nil"/>
              <w:left w:val="single" w:sz="8" w:space="0" w:color="auto"/>
              <w:bottom w:val="single" w:sz="8" w:space="0" w:color="000000"/>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Metadate CD™ </w:t>
            </w:r>
            <w:r w:rsidRPr="00F61289">
              <w:rPr>
                <w:rFonts w:ascii="Arial" w:hAnsi="Arial" w:cs="Arial"/>
                <w:color w:val="000000"/>
                <w:sz w:val="16"/>
                <w:szCs w:val="16"/>
              </w:rPr>
              <w:t>60</w:t>
            </w:r>
            <w:r w:rsidR="008261D6" w:rsidRPr="00F61289">
              <w:rPr>
                <w:rFonts w:ascii="Arial" w:hAnsi="Arial" w:cs="Arial"/>
                <w:color w:val="000000"/>
                <w:sz w:val="16"/>
                <w:szCs w:val="16"/>
              </w:rPr>
              <w:t xml:space="preserve"> mg </w:t>
            </w:r>
            <w:r w:rsidRPr="00F61289">
              <w:rPr>
                <w:rFonts w:ascii="Arial" w:hAnsi="Arial" w:cs="Arial"/>
                <w:color w:val="000000"/>
                <w:sz w:val="16"/>
                <w:szCs w:val="16"/>
              </w:rPr>
              <w:t xml:space="preserve"> Capsule </w:t>
            </w:r>
            <w:r>
              <w:rPr>
                <w:rFonts w:ascii="Arial" w:hAnsi="Arial" w:cs="Arial"/>
                <w:color w:val="000000"/>
                <w:sz w:val="16"/>
                <w:szCs w:val="16"/>
              </w:rPr>
              <w:t xml:space="preserve">      </w:t>
            </w:r>
            <w:r w:rsidRPr="002F2F57">
              <w:rPr>
                <w:rFonts w:ascii="Arial" w:hAnsi="Arial" w:cs="Arial"/>
                <w:color w:val="000000"/>
                <w:sz w:val="12"/>
                <w:szCs w:val="12"/>
              </w:rPr>
              <w:t>(18 mg IR; 42 mg ER)</w:t>
            </w:r>
            <w:r w:rsidRPr="00F61289">
              <w:rPr>
                <w:rFonts w:ascii="Arial" w:hAnsi="Arial" w:cs="Arial"/>
                <w:color w:val="000000"/>
                <w:sz w:val="16"/>
                <w:szCs w:val="16"/>
              </w:rPr>
              <w:t xml:space="preserve"> </w:t>
            </w:r>
          </w:p>
        </w:tc>
        <w:tc>
          <w:tcPr>
            <w:tcW w:w="1260" w:type="dxa"/>
            <w:tcBorders>
              <w:top w:val="nil"/>
              <w:left w:val="nil"/>
              <w:bottom w:val="single" w:sz="8" w:space="0" w:color="000000"/>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260" w:type="dxa"/>
            <w:gridSpan w:val="2"/>
            <w:tcBorders>
              <w:top w:val="nil"/>
              <w:left w:val="nil"/>
              <w:bottom w:val="single" w:sz="8" w:space="0" w:color="000000"/>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530" w:type="dxa"/>
            <w:tcBorders>
              <w:top w:val="nil"/>
              <w:left w:val="nil"/>
              <w:bottom w:val="single" w:sz="8" w:space="0" w:color="000000"/>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3C4C3D">
        <w:trPr>
          <w:trHeight w:val="160"/>
        </w:trPr>
        <w:tc>
          <w:tcPr>
            <w:tcW w:w="9015" w:type="dxa"/>
            <w:gridSpan w:val="5"/>
            <w:tcBorders>
              <w:top w:val="single" w:sz="8" w:space="0" w:color="000000"/>
              <w:left w:val="single" w:sz="8" w:space="0" w:color="auto"/>
              <w:bottom w:val="single" w:sz="8" w:space="0" w:color="auto"/>
              <w:right w:val="single" w:sz="8" w:space="0" w:color="000000"/>
            </w:tcBorders>
            <w:shd w:val="clear" w:color="auto" w:fill="auto"/>
            <w:vAlign w:val="bottom"/>
            <w:hideMark/>
          </w:tcPr>
          <w:p w:rsidR="00AF481F" w:rsidRPr="00F61289" w:rsidRDefault="00AF481F" w:rsidP="00107916">
            <w:pPr>
              <w:rPr>
                <w:rFonts w:ascii="Arial" w:hAnsi="Arial" w:cs="Arial"/>
                <w:b/>
                <w:bCs/>
                <w:color w:val="000000"/>
                <w:sz w:val="16"/>
                <w:szCs w:val="16"/>
              </w:rPr>
            </w:pPr>
            <w:r w:rsidRPr="00F61289">
              <w:rPr>
                <w:rFonts w:ascii="Arial" w:hAnsi="Arial" w:cs="Arial"/>
                <w:b/>
                <w:bCs/>
                <w:color w:val="000000"/>
                <w:sz w:val="16"/>
                <w:szCs w:val="16"/>
              </w:rPr>
              <w:lastRenderedPageBreak/>
              <w:t>Methylphenidate Capsules</w:t>
            </w:r>
            <w:r>
              <w:rPr>
                <w:rFonts w:ascii="Arial" w:hAnsi="Arial" w:cs="Arial"/>
                <w:b/>
                <w:bCs/>
                <w:color w:val="000000"/>
                <w:sz w:val="16"/>
                <w:szCs w:val="16"/>
              </w:rPr>
              <w:t xml:space="preserve"> (e.g., Ritalin® LA) </w:t>
            </w:r>
            <w:r w:rsidRPr="00F61289">
              <w:rPr>
                <w:rFonts w:ascii="Arial" w:hAnsi="Arial" w:cs="Arial"/>
                <w:b/>
                <w:bCs/>
                <w:color w:val="000000"/>
                <w:sz w:val="16"/>
                <w:szCs w:val="16"/>
              </w:rPr>
              <w:t>EXTENDED RELEAS</w:t>
            </w:r>
            <w:r w:rsidR="002E0242">
              <w:rPr>
                <w:rFonts w:ascii="Arial" w:hAnsi="Arial" w:cs="Arial"/>
                <w:b/>
                <w:bCs/>
                <w:color w:val="000000"/>
                <w:sz w:val="16"/>
                <w:szCs w:val="16"/>
              </w:rPr>
              <w:t xml:space="preserve">E Medicaid Max Daily Dose = 60 </w:t>
            </w:r>
            <w:r w:rsidRPr="00F61289">
              <w:rPr>
                <w:rFonts w:ascii="Arial" w:hAnsi="Arial" w:cs="Arial"/>
                <w:b/>
                <w:bCs/>
                <w:color w:val="000000"/>
                <w:sz w:val="16"/>
                <w:szCs w:val="16"/>
              </w:rPr>
              <w:t>mg</w:t>
            </w:r>
          </w:p>
        </w:tc>
      </w:tr>
      <w:tr w:rsidR="00AF481F" w:rsidRPr="00F61289" w:rsidTr="00DD08A6">
        <w:trPr>
          <w:trHeight w:val="49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2E0242" w:rsidP="00107916">
            <w:pPr>
              <w:rPr>
                <w:rFonts w:ascii="Arial" w:hAnsi="Arial" w:cs="Arial"/>
                <w:b/>
                <w:bCs/>
                <w:color w:val="000000"/>
                <w:sz w:val="16"/>
                <w:szCs w:val="16"/>
              </w:rPr>
            </w:pPr>
            <w:r>
              <w:rPr>
                <w:rFonts w:ascii="Arial" w:hAnsi="Arial" w:cs="Arial"/>
                <w:b/>
                <w:bCs/>
                <w:color w:val="000000"/>
                <w:sz w:val="16"/>
                <w:szCs w:val="16"/>
              </w:rPr>
              <w:t>Drug Name</w:t>
            </w:r>
            <w:r w:rsidR="00AF481F" w:rsidRPr="00F61289">
              <w:rPr>
                <w:rFonts w:ascii="Arial" w:hAnsi="Arial" w:cs="Arial"/>
                <w:b/>
                <w:bCs/>
                <w:color w:val="000000"/>
                <w:sz w:val="16"/>
                <w:szCs w:val="16"/>
              </w:rPr>
              <w:t xml:space="preserve"> </w:t>
            </w:r>
            <w:r w:rsidR="00AF481F" w:rsidRPr="00F61289">
              <w:rPr>
                <w:rFonts w:ascii="Arial" w:hAnsi="Arial" w:cs="Arial"/>
                <w:color w:val="000000"/>
                <w:sz w:val="16"/>
                <w:szCs w:val="16"/>
              </w:rPr>
              <w:t>(</w:t>
            </w:r>
            <w:r w:rsidR="00AF481F" w:rsidRPr="00D4638A">
              <w:rPr>
                <w:rFonts w:ascii="Arial" w:hAnsi="Arial" w:cs="Arial"/>
                <w:color w:val="000000"/>
                <w:sz w:val="16"/>
                <w:szCs w:val="16"/>
              </w:rPr>
              <w:t>The extended-release capsules are comparable to two IR doses 4 hours apart)</w:t>
            </w:r>
            <w:r w:rsidR="00AF481F">
              <w:rPr>
                <w:rFonts w:ascii="Arial" w:hAnsi="Arial" w:cs="Arial"/>
                <w:color w:val="000000"/>
                <w:sz w:val="16"/>
                <w:szCs w:val="16"/>
              </w:rPr>
              <w:t xml:space="preserve"> </w:t>
            </w:r>
            <w:r w:rsidR="00AF481F" w:rsidRPr="00CA743C">
              <w:rPr>
                <w:rFonts w:ascii="Arial" w:hAnsi="Arial" w:cs="Arial"/>
                <w:b/>
                <w:bCs/>
                <w:color w:val="000000"/>
                <w:sz w:val="16"/>
                <w:szCs w:val="16"/>
              </w:rPr>
              <w:t xml:space="preserve">Ritalin® LA </w:t>
            </w:r>
            <w:r w:rsidR="00AF481F" w:rsidRPr="00F61289">
              <w:rPr>
                <w:rFonts w:ascii="Arial" w:hAnsi="Arial" w:cs="Arial"/>
                <w:b/>
                <w:bCs/>
                <w:color w:val="000000"/>
                <w:sz w:val="16"/>
                <w:szCs w:val="16"/>
              </w:rPr>
              <w:t xml:space="preserve">= 9-12 </w:t>
            </w:r>
            <w:r w:rsidR="00AF481F">
              <w:rPr>
                <w:rFonts w:ascii="Arial" w:hAnsi="Arial" w:cs="Arial"/>
                <w:b/>
                <w:bCs/>
                <w:color w:val="000000"/>
                <w:sz w:val="16"/>
                <w:szCs w:val="16"/>
              </w:rPr>
              <w:t>HR</w:t>
            </w:r>
            <w:r w:rsidR="00AF481F" w:rsidRPr="00F61289">
              <w:rPr>
                <w:rFonts w:ascii="Arial" w:hAnsi="Arial" w:cs="Arial"/>
                <w:b/>
                <w:bCs/>
                <w:color w:val="000000"/>
                <w:sz w:val="16"/>
                <w:szCs w:val="16"/>
              </w:rPr>
              <w:t xml:space="preserve"> DURATION</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98"/>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Ritalin</w:t>
            </w:r>
            <w:r>
              <w:rPr>
                <w:rFonts w:ascii="Arial" w:hAnsi="Arial" w:cs="Arial"/>
                <w:color w:val="000000"/>
                <w:sz w:val="16"/>
                <w:szCs w:val="16"/>
              </w:rPr>
              <w:t>®</w:t>
            </w:r>
            <w:r w:rsidRPr="00F61289">
              <w:rPr>
                <w:rFonts w:ascii="Arial" w:hAnsi="Arial" w:cs="Arial"/>
                <w:color w:val="000000"/>
                <w:sz w:val="16"/>
                <w:szCs w:val="16"/>
              </w:rPr>
              <w:t xml:space="preserve"> La (Methylphenidate) 10</w:t>
            </w:r>
            <w:r>
              <w:rPr>
                <w:rFonts w:ascii="Arial" w:hAnsi="Arial" w:cs="Arial"/>
                <w:color w:val="000000"/>
                <w:sz w:val="16"/>
                <w:szCs w:val="16"/>
              </w:rPr>
              <w:t xml:space="preserve"> </w:t>
            </w:r>
            <w:r w:rsidR="00EE46CB">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5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Ritalin® La </w:t>
            </w:r>
            <w:r w:rsidRPr="00F61289">
              <w:rPr>
                <w:rFonts w:ascii="Arial" w:hAnsi="Arial" w:cs="Arial"/>
                <w:color w:val="000000"/>
                <w:sz w:val="16"/>
                <w:szCs w:val="16"/>
              </w:rPr>
              <w:t>(Methylphenidate) 20</w:t>
            </w:r>
            <w:r>
              <w:rPr>
                <w:rFonts w:ascii="Arial" w:hAnsi="Arial" w:cs="Arial"/>
                <w:color w:val="000000"/>
                <w:sz w:val="16"/>
                <w:szCs w:val="16"/>
              </w:rPr>
              <w:t xml:space="preserve"> </w:t>
            </w:r>
            <w:r w:rsidR="00EE46CB">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34"/>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Ritalin® La </w:t>
            </w:r>
            <w:r w:rsidRPr="00F61289">
              <w:rPr>
                <w:rFonts w:ascii="Arial" w:hAnsi="Arial" w:cs="Arial"/>
                <w:color w:val="000000"/>
                <w:sz w:val="16"/>
                <w:szCs w:val="16"/>
              </w:rPr>
              <w:t>(Methylphenidate) 30</w:t>
            </w:r>
            <w:r>
              <w:rPr>
                <w:rFonts w:ascii="Arial" w:hAnsi="Arial" w:cs="Arial"/>
                <w:color w:val="000000"/>
                <w:sz w:val="16"/>
                <w:szCs w:val="16"/>
              </w:rPr>
              <w:t xml:space="preserve"> </w:t>
            </w:r>
            <w:r w:rsidRPr="00F61289">
              <w:rPr>
                <w:rFonts w:ascii="Arial" w:hAnsi="Arial" w:cs="Arial"/>
                <w:color w:val="000000"/>
                <w:sz w:val="16"/>
                <w:szCs w:val="16"/>
              </w:rPr>
              <w:t>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98"/>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CA743C">
              <w:rPr>
                <w:rFonts w:ascii="Arial" w:hAnsi="Arial" w:cs="Arial"/>
                <w:color w:val="000000"/>
                <w:sz w:val="16"/>
                <w:szCs w:val="16"/>
              </w:rPr>
              <w:t xml:space="preserve">Ritalin® La </w:t>
            </w:r>
            <w:r w:rsidRPr="00F61289">
              <w:rPr>
                <w:rFonts w:ascii="Arial" w:hAnsi="Arial" w:cs="Arial"/>
                <w:color w:val="000000"/>
                <w:sz w:val="16"/>
                <w:szCs w:val="16"/>
              </w:rPr>
              <w:t>(Methylphenidate) 40</w:t>
            </w:r>
            <w:r>
              <w:rPr>
                <w:rFonts w:ascii="Arial" w:hAnsi="Arial" w:cs="Arial"/>
                <w:color w:val="000000"/>
                <w:sz w:val="16"/>
                <w:szCs w:val="16"/>
              </w:rPr>
              <w:t xml:space="preserve"> </w:t>
            </w:r>
            <w:r w:rsidRPr="00F61289">
              <w:rPr>
                <w:rFonts w:ascii="Arial" w:hAnsi="Arial" w:cs="Arial"/>
                <w:color w:val="000000"/>
                <w:sz w:val="16"/>
                <w:szCs w:val="16"/>
              </w:rPr>
              <w:t>mg Capsule</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40 mg</w:t>
            </w:r>
          </w:p>
        </w:tc>
        <w:tc>
          <w:tcPr>
            <w:tcW w:w="1170" w:type="dxa"/>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35"/>
        </w:trPr>
        <w:tc>
          <w:tcPr>
            <w:tcW w:w="9015" w:type="dxa"/>
            <w:gridSpan w:val="5"/>
            <w:tcBorders>
              <w:top w:val="single" w:sz="8" w:space="0" w:color="auto"/>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p>
        </w:tc>
      </w:tr>
      <w:tr w:rsidR="00AF481F" w:rsidRPr="00F61289" w:rsidTr="00DD08A6">
        <w:trPr>
          <w:trHeight w:val="196"/>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Methylphenidate EXTENDED RELEASE SUSPENSION Medicaid Max Daily Dose = 60</w:t>
            </w:r>
            <w:r w:rsidR="00EE46CB">
              <w:rPr>
                <w:rFonts w:ascii="Arial" w:hAnsi="Arial" w:cs="Arial"/>
                <w:b/>
                <w:bCs/>
                <w:color w:val="000000"/>
                <w:sz w:val="16"/>
                <w:szCs w:val="16"/>
              </w:rPr>
              <w:t xml:space="preserve"> mg</w:t>
            </w:r>
          </w:p>
        </w:tc>
      </w:tr>
      <w:tr w:rsidR="00AF481F" w:rsidRPr="00F61289" w:rsidTr="00DD08A6">
        <w:trPr>
          <w:trHeight w:val="529"/>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188"/>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CA743C" w:rsidRDefault="00AF481F" w:rsidP="002E0242">
            <w:pPr>
              <w:rPr>
                <w:rFonts w:ascii="Arial" w:hAnsi="Arial" w:cs="Arial"/>
                <w:bCs/>
                <w:color w:val="000000"/>
                <w:sz w:val="16"/>
                <w:szCs w:val="16"/>
              </w:rPr>
            </w:pPr>
            <w:r w:rsidRPr="00CA743C">
              <w:rPr>
                <w:rFonts w:ascii="Arial" w:hAnsi="Arial" w:cs="Arial"/>
                <w:bCs/>
                <w:color w:val="000000"/>
                <w:sz w:val="16"/>
                <w:szCs w:val="16"/>
              </w:rPr>
              <w:t>Quillivant XR</w:t>
            </w:r>
            <w:r>
              <w:rPr>
                <w:rFonts w:ascii="Arial" w:hAnsi="Arial" w:cs="Arial"/>
                <w:bCs/>
                <w:color w:val="000000"/>
                <w:sz w:val="16"/>
                <w:szCs w:val="16"/>
              </w:rPr>
              <w:t>™</w:t>
            </w:r>
            <w:r w:rsidRPr="00CA743C">
              <w:rPr>
                <w:rFonts w:ascii="Arial" w:hAnsi="Arial" w:cs="Arial"/>
                <w:bCs/>
                <w:color w:val="000000"/>
                <w:sz w:val="16"/>
                <w:szCs w:val="16"/>
              </w:rPr>
              <w:t xml:space="preserve"> 25 </w:t>
            </w:r>
            <w:r w:rsidR="002E0242">
              <w:rPr>
                <w:rFonts w:ascii="Arial" w:hAnsi="Arial" w:cs="Arial"/>
                <w:bCs/>
                <w:color w:val="000000"/>
                <w:sz w:val="16"/>
                <w:szCs w:val="16"/>
              </w:rPr>
              <w:t>mg/5 ml</w:t>
            </w:r>
            <w:r w:rsidRPr="00CA743C">
              <w:rPr>
                <w:rFonts w:ascii="Arial" w:hAnsi="Arial" w:cs="Arial"/>
                <w:bCs/>
                <w:color w:val="000000"/>
                <w:sz w:val="16"/>
                <w:szCs w:val="16"/>
              </w:rPr>
              <w:t xml:space="preserve">, Powder </w:t>
            </w:r>
            <w:r>
              <w:rPr>
                <w:rFonts w:ascii="Arial" w:hAnsi="Arial" w:cs="Arial"/>
                <w:bCs/>
                <w:color w:val="000000"/>
                <w:sz w:val="16"/>
                <w:szCs w:val="16"/>
              </w:rPr>
              <w:t>for</w:t>
            </w:r>
            <w:r w:rsidRPr="00CA743C">
              <w:rPr>
                <w:rFonts w:ascii="Arial" w:hAnsi="Arial" w:cs="Arial"/>
                <w:bCs/>
                <w:color w:val="000000"/>
                <w:sz w:val="16"/>
                <w:szCs w:val="16"/>
              </w:rPr>
              <w:t xml:space="preserve"> Reconstitution, 60 </w:t>
            </w:r>
            <w:r>
              <w:rPr>
                <w:rFonts w:ascii="Arial" w:hAnsi="Arial" w:cs="Arial"/>
                <w:bCs/>
                <w:color w:val="000000"/>
                <w:sz w:val="16"/>
                <w:szCs w:val="16"/>
              </w:rPr>
              <w:t>m</w:t>
            </w:r>
            <w:r w:rsidRPr="00CA743C">
              <w:rPr>
                <w:rFonts w:ascii="Arial" w:hAnsi="Arial" w:cs="Arial"/>
                <w:bCs/>
                <w:color w:val="000000"/>
                <w:sz w:val="16"/>
                <w:szCs w:val="16"/>
              </w:rPr>
              <w:t>l</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 ml</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60 ml</w:t>
            </w:r>
          </w:p>
        </w:tc>
      </w:tr>
      <w:tr w:rsidR="00AF481F" w:rsidRPr="00F61289" w:rsidTr="00DD08A6">
        <w:trPr>
          <w:trHeight w:val="161"/>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CA743C" w:rsidRDefault="00AF481F" w:rsidP="00AF481F">
            <w:pPr>
              <w:rPr>
                <w:rFonts w:ascii="Arial" w:hAnsi="Arial" w:cs="Arial"/>
                <w:bCs/>
                <w:color w:val="000000"/>
                <w:sz w:val="16"/>
                <w:szCs w:val="16"/>
              </w:rPr>
            </w:pPr>
            <w:r w:rsidRPr="00CA743C">
              <w:rPr>
                <w:rFonts w:ascii="Arial" w:hAnsi="Arial" w:cs="Arial"/>
                <w:bCs/>
                <w:color w:val="000000"/>
                <w:sz w:val="16"/>
                <w:szCs w:val="16"/>
              </w:rPr>
              <w:t>Quillivant XR</w:t>
            </w:r>
            <w:r>
              <w:rPr>
                <w:rFonts w:ascii="Arial" w:hAnsi="Arial" w:cs="Arial"/>
                <w:bCs/>
                <w:color w:val="000000"/>
                <w:sz w:val="16"/>
                <w:szCs w:val="16"/>
              </w:rPr>
              <w:t>™</w:t>
            </w:r>
            <w:r w:rsidR="002E0242">
              <w:rPr>
                <w:rFonts w:ascii="Arial" w:hAnsi="Arial" w:cs="Arial"/>
                <w:bCs/>
                <w:color w:val="000000"/>
                <w:sz w:val="16"/>
                <w:szCs w:val="16"/>
              </w:rPr>
              <w:t xml:space="preserve"> 25 mg/5 ml</w:t>
            </w:r>
            <w:r w:rsidRPr="00CA743C">
              <w:rPr>
                <w:rFonts w:ascii="Arial" w:hAnsi="Arial" w:cs="Arial"/>
                <w:bCs/>
                <w:color w:val="000000"/>
                <w:sz w:val="16"/>
                <w:szCs w:val="16"/>
              </w:rPr>
              <w:t xml:space="preserve">, Powder </w:t>
            </w:r>
            <w:r>
              <w:rPr>
                <w:rFonts w:ascii="Arial" w:hAnsi="Arial" w:cs="Arial"/>
                <w:bCs/>
                <w:color w:val="000000"/>
                <w:sz w:val="16"/>
                <w:szCs w:val="16"/>
              </w:rPr>
              <w:t>f</w:t>
            </w:r>
            <w:r w:rsidRPr="00CA743C">
              <w:rPr>
                <w:rFonts w:ascii="Arial" w:hAnsi="Arial" w:cs="Arial"/>
                <w:bCs/>
                <w:color w:val="000000"/>
                <w:sz w:val="16"/>
                <w:szCs w:val="16"/>
              </w:rPr>
              <w:t xml:space="preserve">or Reconstitution, 120 </w:t>
            </w:r>
            <w:r>
              <w:rPr>
                <w:rFonts w:ascii="Arial" w:hAnsi="Arial" w:cs="Arial"/>
                <w:bCs/>
                <w:color w:val="000000"/>
                <w:sz w:val="16"/>
                <w:szCs w:val="16"/>
              </w:rPr>
              <w:t>ml</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4 ml</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120 ml</w:t>
            </w:r>
          </w:p>
        </w:tc>
      </w:tr>
      <w:tr w:rsidR="00AF481F" w:rsidRPr="00F61289" w:rsidTr="00DD08A6">
        <w:trPr>
          <w:trHeight w:val="14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CA743C" w:rsidRDefault="00AF481F" w:rsidP="002E0242">
            <w:pPr>
              <w:rPr>
                <w:rFonts w:ascii="Arial" w:hAnsi="Arial" w:cs="Arial"/>
                <w:bCs/>
                <w:color w:val="000000"/>
                <w:sz w:val="16"/>
                <w:szCs w:val="16"/>
              </w:rPr>
            </w:pPr>
            <w:r w:rsidRPr="00CA743C">
              <w:rPr>
                <w:rFonts w:ascii="Arial" w:hAnsi="Arial" w:cs="Arial"/>
                <w:bCs/>
                <w:color w:val="000000"/>
                <w:sz w:val="16"/>
                <w:szCs w:val="16"/>
              </w:rPr>
              <w:t>Quillivant XR</w:t>
            </w:r>
            <w:r>
              <w:rPr>
                <w:rFonts w:ascii="Arial" w:hAnsi="Arial" w:cs="Arial"/>
                <w:bCs/>
                <w:color w:val="000000"/>
                <w:sz w:val="16"/>
                <w:szCs w:val="16"/>
              </w:rPr>
              <w:t>™</w:t>
            </w:r>
            <w:r w:rsidRPr="00CA743C">
              <w:rPr>
                <w:rFonts w:ascii="Arial" w:hAnsi="Arial" w:cs="Arial"/>
                <w:bCs/>
                <w:color w:val="000000"/>
                <w:sz w:val="16"/>
                <w:szCs w:val="16"/>
              </w:rPr>
              <w:t xml:space="preserve"> 25 </w:t>
            </w:r>
            <w:r w:rsidR="002E0242">
              <w:rPr>
                <w:rFonts w:ascii="Arial" w:hAnsi="Arial" w:cs="Arial"/>
                <w:bCs/>
                <w:color w:val="000000"/>
                <w:sz w:val="16"/>
                <w:szCs w:val="16"/>
              </w:rPr>
              <w:t>mg/5 ml</w:t>
            </w:r>
            <w:r w:rsidRPr="00CA743C">
              <w:rPr>
                <w:rFonts w:ascii="Arial" w:hAnsi="Arial" w:cs="Arial"/>
                <w:bCs/>
                <w:color w:val="000000"/>
                <w:sz w:val="16"/>
                <w:szCs w:val="16"/>
              </w:rPr>
              <w:t xml:space="preserve">, Powder </w:t>
            </w:r>
            <w:r>
              <w:rPr>
                <w:rFonts w:ascii="Arial" w:hAnsi="Arial" w:cs="Arial"/>
                <w:bCs/>
                <w:color w:val="000000"/>
                <w:sz w:val="16"/>
                <w:szCs w:val="16"/>
              </w:rPr>
              <w:t>f</w:t>
            </w:r>
            <w:r w:rsidRPr="00CA743C">
              <w:rPr>
                <w:rFonts w:ascii="Arial" w:hAnsi="Arial" w:cs="Arial"/>
                <w:bCs/>
                <w:color w:val="000000"/>
                <w:sz w:val="16"/>
                <w:szCs w:val="16"/>
              </w:rPr>
              <w:t xml:space="preserve">or Reconstitution, 150 </w:t>
            </w:r>
            <w:r>
              <w:rPr>
                <w:rFonts w:ascii="Arial" w:hAnsi="Arial" w:cs="Arial"/>
                <w:bCs/>
                <w:color w:val="000000"/>
                <w:sz w:val="16"/>
                <w:szCs w:val="16"/>
              </w:rPr>
              <w:t>m</w:t>
            </w:r>
            <w:r w:rsidRPr="00CA743C">
              <w:rPr>
                <w:rFonts w:ascii="Arial" w:hAnsi="Arial" w:cs="Arial"/>
                <w:bCs/>
                <w:color w:val="000000"/>
                <w:sz w:val="16"/>
                <w:szCs w:val="16"/>
              </w:rPr>
              <w:t>l</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25 mg</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5 ml</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150 ml</w:t>
            </w:r>
          </w:p>
        </w:tc>
      </w:tr>
      <w:tr w:rsidR="00AF481F" w:rsidRPr="00F61289" w:rsidTr="00DD08A6">
        <w:trPr>
          <w:trHeight w:val="107"/>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CA743C" w:rsidRDefault="00AF481F" w:rsidP="002E0242">
            <w:pPr>
              <w:rPr>
                <w:rFonts w:ascii="Arial" w:hAnsi="Arial" w:cs="Arial"/>
                <w:bCs/>
                <w:color w:val="000000"/>
                <w:sz w:val="16"/>
                <w:szCs w:val="16"/>
              </w:rPr>
            </w:pPr>
            <w:r w:rsidRPr="00CA743C">
              <w:rPr>
                <w:rFonts w:ascii="Arial" w:hAnsi="Arial" w:cs="Arial"/>
                <w:bCs/>
                <w:color w:val="000000"/>
                <w:sz w:val="16"/>
                <w:szCs w:val="16"/>
              </w:rPr>
              <w:t>Quillivant XR</w:t>
            </w:r>
            <w:r>
              <w:rPr>
                <w:rFonts w:ascii="Arial" w:hAnsi="Arial" w:cs="Arial"/>
                <w:bCs/>
                <w:color w:val="000000"/>
                <w:sz w:val="16"/>
                <w:szCs w:val="16"/>
              </w:rPr>
              <w:t>™</w:t>
            </w:r>
            <w:r w:rsidR="002E0242">
              <w:rPr>
                <w:rFonts w:ascii="Arial" w:hAnsi="Arial" w:cs="Arial"/>
                <w:bCs/>
                <w:color w:val="000000"/>
                <w:sz w:val="16"/>
                <w:szCs w:val="16"/>
              </w:rPr>
              <w:t xml:space="preserve"> </w:t>
            </w:r>
            <w:r w:rsidRPr="00CA743C">
              <w:rPr>
                <w:rFonts w:ascii="Arial" w:hAnsi="Arial" w:cs="Arial"/>
                <w:bCs/>
                <w:color w:val="000000"/>
                <w:sz w:val="16"/>
                <w:szCs w:val="16"/>
              </w:rPr>
              <w:t xml:space="preserve">25 </w:t>
            </w:r>
            <w:r w:rsidR="002E0242">
              <w:rPr>
                <w:rFonts w:ascii="Arial" w:hAnsi="Arial" w:cs="Arial"/>
                <w:bCs/>
                <w:color w:val="000000"/>
                <w:sz w:val="16"/>
                <w:szCs w:val="16"/>
              </w:rPr>
              <w:t>mg/5 ml</w:t>
            </w:r>
            <w:r w:rsidRPr="00CA743C">
              <w:rPr>
                <w:rFonts w:ascii="Arial" w:hAnsi="Arial" w:cs="Arial"/>
                <w:bCs/>
                <w:color w:val="000000"/>
                <w:sz w:val="16"/>
                <w:szCs w:val="16"/>
              </w:rPr>
              <w:t xml:space="preserve">, Powder </w:t>
            </w:r>
            <w:r>
              <w:rPr>
                <w:rFonts w:ascii="Arial" w:hAnsi="Arial" w:cs="Arial"/>
                <w:bCs/>
                <w:color w:val="000000"/>
                <w:sz w:val="16"/>
                <w:szCs w:val="16"/>
              </w:rPr>
              <w:t>f</w:t>
            </w:r>
            <w:r w:rsidRPr="00CA743C">
              <w:rPr>
                <w:rFonts w:ascii="Arial" w:hAnsi="Arial" w:cs="Arial"/>
                <w:bCs/>
                <w:color w:val="000000"/>
                <w:sz w:val="16"/>
                <w:szCs w:val="16"/>
              </w:rPr>
              <w:t xml:space="preserve">or Reconstitution, 180 </w:t>
            </w:r>
            <w:r>
              <w:rPr>
                <w:rFonts w:ascii="Arial" w:hAnsi="Arial" w:cs="Arial"/>
                <w:bCs/>
                <w:color w:val="000000"/>
                <w:sz w:val="16"/>
                <w:szCs w:val="16"/>
              </w:rPr>
              <w:t>m</w:t>
            </w:r>
            <w:r w:rsidRPr="00CA743C">
              <w:rPr>
                <w:rFonts w:ascii="Arial" w:hAnsi="Arial" w:cs="Arial"/>
                <w:bCs/>
                <w:color w:val="000000"/>
                <w:sz w:val="16"/>
                <w:szCs w:val="16"/>
              </w:rPr>
              <w:t>l</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8D104C" w:rsidP="00AF481F">
            <w:pPr>
              <w:jc w:val="center"/>
              <w:rPr>
                <w:rFonts w:ascii="Arial" w:hAnsi="Arial" w:cs="Arial"/>
                <w:color w:val="000000"/>
                <w:sz w:val="16"/>
                <w:szCs w:val="16"/>
              </w:rPr>
            </w:pPr>
            <w:r w:rsidRPr="00F61289">
              <w:rPr>
                <w:rFonts w:ascii="Arial" w:hAnsi="Arial" w:cs="Arial"/>
                <w:color w:val="000000"/>
                <w:sz w:val="16"/>
                <w:szCs w:val="16"/>
              </w:rPr>
              <w:t>60 mg</w:t>
            </w:r>
          </w:p>
        </w:tc>
        <w:tc>
          <w:tcPr>
            <w:tcW w:w="1170" w:type="dxa"/>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12 ml</w:t>
            </w:r>
          </w:p>
        </w:tc>
        <w:tc>
          <w:tcPr>
            <w:tcW w:w="1620" w:type="dxa"/>
            <w:gridSpan w:val="2"/>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360 ml</w:t>
            </w:r>
          </w:p>
        </w:tc>
      </w:tr>
      <w:tr w:rsidR="00AF481F" w:rsidRPr="00F61289" w:rsidTr="00DD08A6">
        <w:trPr>
          <w:trHeight w:val="165"/>
        </w:trPr>
        <w:tc>
          <w:tcPr>
            <w:tcW w:w="4965" w:type="dxa"/>
            <w:tcBorders>
              <w:top w:val="single" w:sz="8" w:space="0" w:color="auto"/>
              <w:left w:val="nil"/>
              <w:bottom w:val="single" w:sz="8" w:space="0" w:color="000000"/>
            </w:tcBorders>
            <w:shd w:val="clear" w:color="auto" w:fill="auto"/>
            <w:vAlign w:val="bottom"/>
          </w:tcPr>
          <w:p w:rsidR="00AF481F" w:rsidRPr="00F61289" w:rsidRDefault="00AF481F" w:rsidP="00AF481F">
            <w:pPr>
              <w:rPr>
                <w:rFonts w:ascii="Arial" w:hAnsi="Arial" w:cs="Arial"/>
                <w:b/>
                <w:bCs/>
                <w:color w:val="000000"/>
                <w:sz w:val="16"/>
                <w:szCs w:val="16"/>
              </w:rPr>
            </w:pPr>
          </w:p>
        </w:tc>
        <w:tc>
          <w:tcPr>
            <w:tcW w:w="1260" w:type="dxa"/>
            <w:tcBorders>
              <w:top w:val="single" w:sz="8" w:space="0" w:color="auto"/>
              <w:bottom w:val="single" w:sz="8" w:space="0" w:color="000000"/>
            </w:tcBorders>
            <w:shd w:val="clear" w:color="auto" w:fill="auto"/>
            <w:vAlign w:val="bottom"/>
          </w:tcPr>
          <w:p w:rsidR="00AF481F" w:rsidRPr="00F61289" w:rsidRDefault="00AF481F" w:rsidP="00AF481F">
            <w:pPr>
              <w:jc w:val="center"/>
              <w:rPr>
                <w:rFonts w:ascii="Arial" w:hAnsi="Arial" w:cs="Arial"/>
                <w:color w:val="000000"/>
                <w:sz w:val="16"/>
                <w:szCs w:val="16"/>
              </w:rPr>
            </w:pPr>
          </w:p>
        </w:tc>
        <w:tc>
          <w:tcPr>
            <w:tcW w:w="1170" w:type="dxa"/>
            <w:tcBorders>
              <w:top w:val="single" w:sz="8" w:space="0" w:color="auto"/>
              <w:bottom w:val="single" w:sz="8" w:space="0" w:color="000000"/>
            </w:tcBorders>
            <w:shd w:val="clear" w:color="auto" w:fill="auto"/>
            <w:vAlign w:val="bottom"/>
          </w:tcPr>
          <w:p w:rsidR="00AF481F" w:rsidRPr="00F61289" w:rsidRDefault="00AF481F" w:rsidP="00AF481F">
            <w:pPr>
              <w:jc w:val="center"/>
              <w:rPr>
                <w:rFonts w:ascii="Arial" w:hAnsi="Arial" w:cs="Arial"/>
                <w:color w:val="000000"/>
                <w:sz w:val="16"/>
                <w:szCs w:val="16"/>
              </w:rPr>
            </w:pPr>
          </w:p>
        </w:tc>
        <w:tc>
          <w:tcPr>
            <w:tcW w:w="1620" w:type="dxa"/>
            <w:gridSpan w:val="2"/>
            <w:tcBorders>
              <w:top w:val="single" w:sz="8" w:space="0" w:color="auto"/>
              <w:bottom w:val="single" w:sz="8" w:space="0" w:color="000000"/>
              <w:right w:val="nil"/>
            </w:tcBorders>
            <w:shd w:val="clear" w:color="auto" w:fill="auto"/>
            <w:vAlign w:val="bottom"/>
          </w:tcPr>
          <w:p w:rsidR="00AF481F" w:rsidRPr="00F61289" w:rsidRDefault="00AF481F" w:rsidP="00AF481F">
            <w:pPr>
              <w:jc w:val="center"/>
              <w:rPr>
                <w:rFonts w:ascii="Arial" w:hAnsi="Arial" w:cs="Arial"/>
                <w:color w:val="000000"/>
                <w:sz w:val="16"/>
                <w:szCs w:val="16"/>
              </w:rPr>
            </w:pPr>
          </w:p>
        </w:tc>
      </w:tr>
      <w:tr w:rsidR="00AF481F" w:rsidRPr="00F61289" w:rsidTr="00DD08A6">
        <w:trPr>
          <w:trHeight w:val="187"/>
        </w:trPr>
        <w:tc>
          <w:tcPr>
            <w:tcW w:w="9015" w:type="dxa"/>
            <w:gridSpan w:val="5"/>
            <w:tcBorders>
              <w:top w:val="single" w:sz="8" w:space="0" w:color="000000"/>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Transdermal Methylphenidate EXTENDED RELEASE PATCH Medicaid Max Daily Dose = 30 mg</w:t>
            </w:r>
          </w:p>
        </w:tc>
      </w:tr>
      <w:tr w:rsidR="00AF481F" w:rsidRPr="00F61289" w:rsidTr="00DD08A6">
        <w:trPr>
          <w:trHeight w:val="52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 xml:space="preserve">MEDICAID MAX DAILY QUANTITY EDIT </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152"/>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Daytrana 10</w:t>
            </w:r>
            <w:r w:rsidR="002E0242">
              <w:rPr>
                <w:rFonts w:ascii="Arial" w:hAnsi="Arial" w:cs="Arial"/>
                <w:bCs/>
                <w:color w:val="000000"/>
                <w:sz w:val="16"/>
                <w:szCs w:val="16"/>
              </w:rPr>
              <w:t xml:space="preserve"> mg</w:t>
            </w:r>
            <w:r w:rsidRPr="00F61289">
              <w:rPr>
                <w:rFonts w:ascii="Arial" w:hAnsi="Arial" w:cs="Arial"/>
                <w:color w:val="000000"/>
                <w:sz w:val="16"/>
                <w:szCs w:val="16"/>
              </w:rPr>
              <w:t>/9 H</w:t>
            </w:r>
            <w:r>
              <w:rPr>
                <w:rFonts w:ascii="Arial" w:hAnsi="Arial" w:cs="Arial"/>
                <w:color w:val="000000"/>
                <w:sz w:val="16"/>
                <w:szCs w:val="16"/>
              </w:rPr>
              <w:t>R</w:t>
            </w:r>
            <w:r w:rsidRPr="00F61289">
              <w:rPr>
                <w:rFonts w:ascii="Arial" w:hAnsi="Arial" w:cs="Arial"/>
                <w:color w:val="000000"/>
                <w:sz w:val="16"/>
                <w:szCs w:val="16"/>
              </w:rPr>
              <w:t xml:space="preserve"> Patch</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 xml:space="preserve">10 </w:t>
            </w:r>
            <w:r>
              <w:rPr>
                <w:rFonts w:ascii="Arial" w:hAnsi="Arial" w:cs="Arial"/>
                <w:color w:val="000000"/>
                <w:sz w:val="16"/>
                <w:szCs w:val="16"/>
              </w:rPr>
              <w:t>m</w:t>
            </w:r>
            <w:r w:rsidRPr="00F61289">
              <w:rPr>
                <w:rFonts w:ascii="Arial" w:hAnsi="Arial" w:cs="Arial"/>
                <w:color w:val="000000"/>
                <w:sz w:val="16"/>
                <w:szCs w:val="16"/>
              </w:rPr>
              <w:t>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1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107916">
            <w:pPr>
              <w:rPr>
                <w:rFonts w:ascii="Arial" w:hAnsi="Arial" w:cs="Arial"/>
                <w:color w:val="000000"/>
                <w:sz w:val="16"/>
                <w:szCs w:val="16"/>
              </w:rPr>
            </w:pPr>
            <w:r>
              <w:rPr>
                <w:rFonts w:ascii="Arial" w:hAnsi="Arial" w:cs="Arial"/>
                <w:color w:val="000000"/>
                <w:sz w:val="16"/>
                <w:szCs w:val="16"/>
              </w:rPr>
              <w:t xml:space="preserve">Daytrana 15 </w:t>
            </w:r>
            <w:r w:rsidR="002E0242">
              <w:rPr>
                <w:rFonts w:ascii="Arial" w:hAnsi="Arial" w:cs="Arial"/>
                <w:bCs/>
                <w:color w:val="000000"/>
                <w:sz w:val="16"/>
                <w:szCs w:val="16"/>
              </w:rPr>
              <w:t>mg</w:t>
            </w:r>
            <w:r>
              <w:rPr>
                <w:rFonts w:ascii="Arial" w:hAnsi="Arial" w:cs="Arial"/>
                <w:color w:val="000000"/>
                <w:sz w:val="16"/>
                <w:szCs w:val="16"/>
              </w:rPr>
              <w:t xml:space="preserve">/9 HR </w:t>
            </w:r>
            <w:r w:rsidRPr="00F61289">
              <w:rPr>
                <w:rFonts w:ascii="Arial" w:hAnsi="Arial" w:cs="Arial"/>
                <w:color w:val="000000"/>
                <w:sz w:val="16"/>
                <w:szCs w:val="16"/>
              </w:rPr>
              <w:t>Patch</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Pr>
                <w:rFonts w:ascii="Arial" w:hAnsi="Arial" w:cs="Arial"/>
                <w:color w:val="000000"/>
                <w:sz w:val="16"/>
                <w:szCs w:val="16"/>
              </w:rPr>
              <w:t>15 m</w:t>
            </w:r>
            <w:r w:rsidRPr="00F61289">
              <w:rPr>
                <w:rFonts w:ascii="Arial" w:hAnsi="Arial" w:cs="Arial"/>
                <w:color w:val="000000"/>
                <w:sz w:val="16"/>
                <w:szCs w:val="16"/>
              </w:rPr>
              <w:t>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8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107916">
            <w:pPr>
              <w:rPr>
                <w:rFonts w:ascii="Arial" w:hAnsi="Arial" w:cs="Arial"/>
                <w:color w:val="000000"/>
                <w:sz w:val="16"/>
                <w:szCs w:val="16"/>
              </w:rPr>
            </w:pPr>
            <w:r>
              <w:rPr>
                <w:rFonts w:ascii="Arial" w:hAnsi="Arial" w:cs="Arial"/>
                <w:color w:val="000000"/>
                <w:sz w:val="16"/>
                <w:szCs w:val="16"/>
              </w:rPr>
              <w:t xml:space="preserve">Daytrana 20 </w:t>
            </w:r>
            <w:r w:rsidR="002E0242">
              <w:rPr>
                <w:rFonts w:ascii="Arial" w:hAnsi="Arial" w:cs="Arial"/>
                <w:bCs/>
                <w:color w:val="000000"/>
                <w:sz w:val="16"/>
                <w:szCs w:val="16"/>
              </w:rPr>
              <w:t>mg</w:t>
            </w:r>
            <w:r>
              <w:rPr>
                <w:rFonts w:ascii="Arial" w:hAnsi="Arial" w:cs="Arial"/>
                <w:color w:val="000000"/>
                <w:sz w:val="16"/>
                <w:szCs w:val="16"/>
              </w:rPr>
              <w:t xml:space="preserve">/9 HR </w:t>
            </w:r>
            <w:r w:rsidRPr="00F61289">
              <w:rPr>
                <w:rFonts w:ascii="Arial" w:hAnsi="Arial" w:cs="Arial"/>
                <w:color w:val="000000"/>
                <w:sz w:val="16"/>
                <w:szCs w:val="16"/>
              </w:rPr>
              <w:t>Patch</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Pr>
                <w:rFonts w:ascii="Arial" w:hAnsi="Arial" w:cs="Arial"/>
                <w:color w:val="000000"/>
                <w:sz w:val="16"/>
                <w:szCs w:val="16"/>
              </w:rPr>
              <w:t>20 m</w:t>
            </w:r>
            <w:r w:rsidRPr="00F61289">
              <w:rPr>
                <w:rFonts w:ascii="Arial" w:hAnsi="Arial" w:cs="Arial"/>
                <w:color w:val="000000"/>
                <w:sz w:val="16"/>
                <w:szCs w:val="16"/>
              </w:rPr>
              <w:t>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56"/>
        </w:trPr>
        <w:tc>
          <w:tcPr>
            <w:tcW w:w="4965"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AF481F" w:rsidRPr="00F61289" w:rsidRDefault="002E0242" w:rsidP="00107916">
            <w:pPr>
              <w:rPr>
                <w:rFonts w:ascii="Arial" w:hAnsi="Arial" w:cs="Arial"/>
                <w:color w:val="000000"/>
                <w:sz w:val="16"/>
                <w:szCs w:val="16"/>
              </w:rPr>
            </w:pPr>
            <w:r>
              <w:rPr>
                <w:rFonts w:ascii="Arial" w:hAnsi="Arial" w:cs="Arial"/>
                <w:color w:val="000000"/>
                <w:sz w:val="16"/>
                <w:szCs w:val="16"/>
              </w:rPr>
              <w:t>Daytrana 30</w:t>
            </w:r>
            <w:r>
              <w:rPr>
                <w:rFonts w:ascii="Arial" w:hAnsi="Arial" w:cs="Arial"/>
                <w:bCs/>
                <w:color w:val="000000"/>
                <w:sz w:val="16"/>
                <w:szCs w:val="16"/>
              </w:rPr>
              <w:t xml:space="preserve"> mg</w:t>
            </w:r>
            <w:r w:rsidR="00AF481F">
              <w:rPr>
                <w:rFonts w:ascii="Arial" w:hAnsi="Arial" w:cs="Arial"/>
                <w:color w:val="000000"/>
                <w:sz w:val="16"/>
                <w:szCs w:val="16"/>
              </w:rPr>
              <w:t xml:space="preserve">/9 HR </w:t>
            </w:r>
            <w:r w:rsidR="00AF481F" w:rsidRPr="00F61289">
              <w:rPr>
                <w:rFonts w:ascii="Arial" w:hAnsi="Arial" w:cs="Arial"/>
                <w:color w:val="000000"/>
                <w:sz w:val="16"/>
                <w:szCs w:val="16"/>
              </w:rPr>
              <w:t>Patch</w:t>
            </w:r>
          </w:p>
        </w:tc>
        <w:tc>
          <w:tcPr>
            <w:tcW w:w="1260" w:type="dxa"/>
            <w:tcBorders>
              <w:top w:val="single" w:sz="4" w:space="0" w:color="auto"/>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Pr>
                <w:rFonts w:ascii="Arial" w:hAnsi="Arial" w:cs="Arial"/>
                <w:color w:val="000000"/>
                <w:sz w:val="16"/>
                <w:szCs w:val="16"/>
              </w:rPr>
              <w:t>30 m</w:t>
            </w:r>
            <w:r w:rsidRPr="00F61289">
              <w:rPr>
                <w:rFonts w:ascii="Arial" w:hAnsi="Arial" w:cs="Arial"/>
                <w:color w:val="000000"/>
                <w:sz w:val="16"/>
                <w:szCs w:val="16"/>
              </w:rPr>
              <w:t>g</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single" w:sz="4" w:space="0" w:color="auto"/>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50"/>
        </w:trPr>
        <w:tc>
          <w:tcPr>
            <w:tcW w:w="4965" w:type="dxa"/>
            <w:tcBorders>
              <w:top w:val="nil"/>
              <w:left w:val="nil"/>
              <w:bottom w:val="single" w:sz="8" w:space="0" w:color="auto"/>
              <w:right w:val="nil"/>
            </w:tcBorders>
            <w:shd w:val="clear" w:color="auto" w:fill="auto"/>
            <w:vAlign w:val="bottom"/>
            <w:hideMark/>
          </w:tcPr>
          <w:p w:rsidR="00AF481F" w:rsidRPr="00F61289" w:rsidRDefault="00AF481F" w:rsidP="00AF481F">
            <w:pPr>
              <w:rPr>
                <w:rFonts w:ascii="Arial" w:hAnsi="Arial" w:cs="Arial"/>
                <w:color w:val="000000"/>
                <w:sz w:val="16"/>
                <w:szCs w:val="16"/>
              </w:rPr>
            </w:pPr>
          </w:p>
        </w:tc>
        <w:tc>
          <w:tcPr>
            <w:tcW w:w="1260" w:type="dxa"/>
            <w:tcBorders>
              <w:top w:val="nil"/>
              <w:left w:val="nil"/>
              <w:bottom w:val="nil"/>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p>
        </w:tc>
        <w:tc>
          <w:tcPr>
            <w:tcW w:w="1170" w:type="dxa"/>
            <w:tcBorders>
              <w:top w:val="nil"/>
              <w:left w:val="nil"/>
              <w:bottom w:val="nil"/>
              <w:right w:val="nil"/>
            </w:tcBorders>
            <w:shd w:val="clear" w:color="auto" w:fill="auto"/>
            <w:vAlign w:val="bottom"/>
            <w:hideMark/>
          </w:tcPr>
          <w:p w:rsidR="00AF481F" w:rsidRPr="00F61289" w:rsidRDefault="00AF481F" w:rsidP="00AF481F">
            <w:pPr>
              <w:rPr>
                <w:rFonts w:ascii="Arial" w:hAnsi="Arial" w:cs="Arial"/>
                <w:color w:val="000000"/>
                <w:sz w:val="16"/>
                <w:szCs w:val="16"/>
              </w:rPr>
            </w:pPr>
          </w:p>
        </w:tc>
        <w:tc>
          <w:tcPr>
            <w:tcW w:w="1620" w:type="dxa"/>
            <w:gridSpan w:val="2"/>
            <w:tcBorders>
              <w:top w:val="nil"/>
              <w:left w:val="nil"/>
              <w:bottom w:val="single" w:sz="8" w:space="0" w:color="auto"/>
              <w:right w:val="nil"/>
            </w:tcBorders>
            <w:shd w:val="clear" w:color="auto" w:fill="auto"/>
            <w:vAlign w:val="bottom"/>
            <w:hideMark/>
          </w:tcPr>
          <w:p w:rsidR="00AF481F" w:rsidRPr="00F61289" w:rsidRDefault="00AF481F" w:rsidP="00AF481F">
            <w:pPr>
              <w:rPr>
                <w:rFonts w:ascii="Arial" w:hAnsi="Arial" w:cs="Arial"/>
                <w:color w:val="000000"/>
                <w:sz w:val="16"/>
                <w:szCs w:val="16"/>
              </w:rPr>
            </w:pPr>
          </w:p>
        </w:tc>
      </w:tr>
      <w:tr w:rsidR="00AF481F" w:rsidRPr="00F61289" w:rsidTr="00DD08A6">
        <w:trPr>
          <w:trHeight w:val="160"/>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Dexmethylphenidate IR Medicaid Max Daily dose = 20</w:t>
            </w:r>
            <w:r w:rsidR="00107916">
              <w:rPr>
                <w:rFonts w:ascii="Arial" w:hAnsi="Arial" w:cs="Arial"/>
                <w:b/>
                <w:bCs/>
                <w:color w:val="000000"/>
                <w:sz w:val="16"/>
                <w:szCs w:val="16"/>
              </w:rPr>
              <w:t xml:space="preserve"> mg</w:t>
            </w:r>
          </w:p>
        </w:tc>
      </w:tr>
      <w:tr w:rsidR="00AF481F" w:rsidRPr="00F61289" w:rsidTr="00DD08A6">
        <w:trPr>
          <w:trHeight w:val="49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425651">
              <w:rPr>
                <w:rFonts w:ascii="Arial" w:hAnsi="Arial" w:cs="Arial"/>
                <w:b/>
                <w:bCs/>
                <w:color w:val="000000"/>
                <w:sz w:val="16"/>
                <w:szCs w:val="16"/>
              </w:rPr>
              <w:t>EDICAID MAX DAILY QUANTITY EDIT</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EE46CB">
            <w:pPr>
              <w:rPr>
                <w:rFonts w:ascii="Arial" w:hAnsi="Arial" w:cs="Arial"/>
                <w:b/>
                <w:bCs/>
                <w:color w:val="000000"/>
                <w:sz w:val="16"/>
                <w:szCs w:val="16"/>
              </w:rPr>
            </w:pPr>
            <w:r w:rsidRPr="00F61289">
              <w:rPr>
                <w:rFonts w:ascii="Arial" w:hAnsi="Arial" w:cs="Arial"/>
                <w:b/>
                <w:bCs/>
                <w:color w:val="000000"/>
                <w:sz w:val="16"/>
                <w:szCs w:val="16"/>
              </w:rPr>
              <w:t>MEDICAID MONTHLY MAX</w:t>
            </w:r>
            <w:r w:rsidR="005B12BA">
              <w:rPr>
                <w:rFonts w:ascii="Arial" w:hAnsi="Arial" w:cs="Arial"/>
                <w:b/>
                <w:bCs/>
                <w:color w:val="000000"/>
                <w:sz w:val="16"/>
                <w:szCs w:val="16"/>
              </w:rPr>
              <w:t xml:space="preserve"> </w:t>
            </w:r>
            <w:r w:rsidRPr="00F61289">
              <w:rPr>
                <w:rFonts w:ascii="Arial" w:hAnsi="Arial" w:cs="Arial"/>
                <w:b/>
                <w:bCs/>
                <w:color w:val="000000"/>
                <w:sz w:val="16"/>
                <w:szCs w:val="16"/>
              </w:rPr>
              <w:t>CUMULATIVE QTY</w:t>
            </w:r>
          </w:p>
        </w:tc>
      </w:tr>
      <w:tr w:rsidR="00AF481F" w:rsidRPr="00F61289" w:rsidTr="00DD08A6">
        <w:trPr>
          <w:trHeight w:val="71"/>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Focalin 2.5mg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5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Focalin 5mg Tablet</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80"/>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Focalin 10mg Tablet</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170" w:type="dxa"/>
            <w:tcBorders>
              <w:top w:val="nil"/>
              <w:left w:val="nil"/>
              <w:bottom w:val="single" w:sz="8"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w:t>
            </w:r>
          </w:p>
        </w:tc>
        <w:tc>
          <w:tcPr>
            <w:tcW w:w="1620" w:type="dxa"/>
            <w:gridSpan w:val="2"/>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62</w:t>
            </w:r>
          </w:p>
        </w:tc>
      </w:tr>
      <w:tr w:rsidR="00AF481F" w:rsidRPr="00F61289" w:rsidTr="00DD08A6">
        <w:trPr>
          <w:trHeight w:val="165"/>
        </w:trPr>
        <w:tc>
          <w:tcPr>
            <w:tcW w:w="4965" w:type="dxa"/>
            <w:tcBorders>
              <w:top w:val="nil"/>
              <w:left w:val="nil"/>
              <w:bottom w:val="single" w:sz="8" w:space="0" w:color="auto"/>
              <w:right w:val="nil"/>
            </w:tcBorders>
            <w:shd w:val="clear" w:color="auto" w:fill="auto"/>
            <w:vAlign w:val="bottom"/>
            <w:hideMark/>
          </w:tcPr>
          <w:p w:rsidR="00AF481F" w:rsidRPr="00F61289" w:rsidRDefault="00AF481F" w:rsidP="00AF481F">
            <w:pPr>
              <w:rPr>
                <w:rFonts w:ascii="Arial" w:hAnsi="Arial" w:cs="Arial"/>
                <w:color w:val="000000"/>
                <w:sz w:val="16"/>
                <w:szCs w:val="16"/>
              </w:rPr>
            </w:pPr>
            <w:r w:rsidRPr="00F61289">
              <w:rPr>
                <w:rFonts w:ascii="Arial" w:hAnsi="Arial" w:cs="Arial"/>
                <w:color w:val="000000"/>
                <w:sz w:val="16"/>
                <w:szCs w:val="16"/>
              </w:rPr>
              <w:t> </w:t>
            </w:r>
          </w:p>
        </w:tc>
        <w:tc>
          <w:tcPr>
            <w:tcW w:w="1260" w:type="dxa"/>
            <w:tcBorders>
              <w:top w:val="nil"/>
              <w:left w:val="nil"/>
              <w:bottom w:val="single" w:sz="8" w:space="0" w:color="auto"/>
              <w:right w:val="nil"/>
            </w:tcBorders>
            <w:shd w:val="clear" w:color="auto" w:fill="auto"/>
            <w:vAlign w:val="bottom"/>
            <w:hideMark/>
          </w:tcPr>
          <w:p w:rsidR="00AF481F" w:rsidRPr="00F61289" w:rsidRDefault="00AF481F" w:rsidP="00AF481F">
            <w:pPr>
              <w:jc w:val="center"/>
              <w:rPr>
                <w:rFonts w:ascii="Arial" w:hAnsi="Arial" w:cs="Arial"/>
                <w:color w:val="000000"/>
                <w:sz w:val="16"/>
                <w:szCs w:val="16"/>
              </w:rPr>
            </w:pPr>
          </w:p>
        </w:tc>
        <w:tc>
          <w:tcPr>
            <w:tcW w:w="1170" w:type="dxa"/>
            <w:tcBorders>
              <w:top w:val="nil"/>
              <w:left w:val="nil"/>
              <w:bottom w:val="single" w:sz="8" w:space="0" w:color="auto"/>
              <w:right w:val="nil"/>
            </w:tcBorders>
            <w:shd w:val="clear" w:color="auto" w:fill="auto"/>
            <w:vAlign w:val="bottom"/>
            <w:hideMark/>
          </w:tcPr>
          <w:p w:rsidR="00AF481F" w:rsidRPr="00F61289" w:rsidRDefault="00AF481F" w:rsidP="00AF481F">
            <w:pPr>
              <w:rPr>
                <w:rFonts w:ascii="Arial" w:hAnsi="Arial" w:cs="Arial"/>
                <w:color w:val="000000"/>
                <w:sz w:val="16"/>
                <w:szCs w:val="16"/>
              </w:rPr>
            </w:pPr>
          </w:p>
        </w:tc>
        <w:tc>
          <w:tcPr>
            <w:tcW w:w="1620" w:type="dxa"/>
            <w:gridSpan w:val="2"/>
            <w:tcBorders>
              <w:top w:val="nil"/>
              <w:left w:val="nil"/>
              <w:bottom w:val="single" w:sz="8" w:space="0" w:color="auto"/>
              <w:right w:val="nil"/>
            </w:tcBorders>
            <w:shd w:val="clear" w:color="auto" w:fill="auto"/>
            <w:vAlign w:val="bottom"/>
            <w:hideMark/>
          </w:tcPr>
          <w:p w:rsidR="00AF481F" w:rsidRPr="00F61289" w:rsidRDefault="00AF481F" w:rsidP="00AF481F">
            <w:pPr>
              <w:rPr>
                <w:rFonts w:ascii="Arial" w:hAnsi="Arial" w:cs="Arial"/>
                <w:color w:val="000000"/>
                <w:sz w:val="16"/>
                <w:szCs w:val="16"/>
              </w:rPr>
            </w:pPr>
          </w:p>
        </w:tc>
      </w:tr>
      <w:tr w:rsidR="00AF481F" w:rsidRPr="00F61289" w:rsidTr="00DD08A6">
        <w:trPr>
          <w:trHeight w:val="223"/>
        </w:trPr>
        <w:tc>
          <w:tcPr>
            <w:tcW w:w="901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Dexmethylphenidate ER-- No Chan</w:t>
            </w:r>
            <w:r w:rsidR="008261D6">
              <w:rPr>
                <w:rFonts w:ascii="Arial" w:hAnsi="Arial" w:cs="Arial"/>
                <w:b/>
                <w:bCs/>
                <w:color w:val="000000"/>
                <w:sz w:val="16"/>
                <w:szCs w:val="16"/>
              </w:rPr>
              <w:t>ges to Existing Quantity Edits.</w:t>
            </w:r>
            <w:r w:rsidRPr="00F61289">
              <w:rPr>
                <w:rFonts w:ascii="Arial" w:hAnsi="Arial" w:cs="Arial"/>
                <w:b/>
                <w:bCs/>
                <w:color w:val="000000"/>
                <w:sz w:val="16"/>
                <w:szCs w:val="16"/>
              </w:rPr>
              <w:t xml:space="preserve"> Medicaid Max Daily Dose = 40 mg</w:t>
            </w:r>
          </w:p>
        </w:tc>
      </w:tr>
      <w:tr w:rsidR="00AF481F" w:rsidRPr="00F61289" w:rsidTr="00DD08A6">
        <w:trPr>
          <w:trHeight w:val="511"/>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8261D6" w:rsidP="00AF481F">
            <w:pPr>
              <w:rPr>
                <w:rFonts w:ascii="Arial" w:hAnsi="Arial" w:cs="Arial"/>
                <w:b/>
                <w:bCs/>
                <w:color w:val="000000"/>
                <w:sz w:val="16"/>
                <w:szCs w:val="16"/>
              </w:rPr>
            </w:pPr>
            <w:r w:rsidRPr="00F61289">
              <w:rPr>
                <w:rFonts w:ascii="Arial" w:hAnsi="Arial" w:cs="Arial"/>
                <w:b/>
                <w:bCs/>
                <w:color w:val="000000"/>
                <w:sz w:val="16"/>
                <w:szCs w:val="16"/>
              </w:rPr>
              <w:t>DRUG NAME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MEDICAID MAX DAILY DOSE BY STRENGTH</w:t>
            </w:r>
          </w:p>
        </w:tc>
        <w:tc>
          <w:tcPr>
            <w:tcW w:w="117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b/>
                <w:bCs/>
                <w:color w:val="000000"/>
                <w:sz w:val="16"/>
                <w:szCs w:val="16"/>
              </w:rPr>
            </w:pPr>
            <w:r w:rsidRPr="00F61289">
              <w:rPr>
                <w:rFonts w:ascii="Arial" w:hAnsi="Arial" w:cs="Arial"/>
                <w:b/>
                <w:bCs/>
                <w:color w:val="000000"/>
                <w:sz w:val="16"/>
                <w:szCs w:val="16"/>
              </w:rPr>
              <w:t>M</w:t>
            </w:r>
            <w:r w:rsidR="00AE5B33">
              <w:rPr>
                <w:rFonts w:ascii="Arial" w:hAnsi="Arial" w:cs="Arial"/>
                <w:b/>
                <w:bCs/>
                <w:color w:val="000000"/>
                <w:sz w:val="16"/>
                <w:szCs w:val="16"/>
              </w:rPr>
              <w:t>EDICAID MAX DAILY QUANTITY EDIT</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2E0242">
            <w:pPr>
              <w:rPr>
                <w:rFonts w:ascii="Arial" w:hAnsi="Arial" w:cs="Arial"/>
                <w:b/>
                <w:bCs/>
                <w:color w:val="000000"/>
                <w:sz w:val="16"/>
                <w:szCs w:val="16"/>
              </w:rPr>
            </w:pPr>
            <w:r w:rsidRPr="00F61289">
              <w:rPr>
                <w:rFonts w:ascii="Arial" w:hAnsi="Arial" w:cs="Arial"/>
                <w:b/>
                <w:bCs/>
                <w:color w:val="000000"/>
                <w:sz w:val="16"/>
                <w:szCs w:val="16"/>
              </w:rPr>
              <w:t>MEDICAID MONTHLY MAX</w:t>
            </w:r>
            <w:r>
              <w:rPr>
                <w:rFonts w:ascii="Arial" w:hAnsi="Arial" w:cs="Arial"/>
                <w:b/>
                <w:bCs/>
                <w:color w:val="000000"/>
                <w:sz w:val="16"/>
                <w:szCs w:val="16"/>
              </w:rPr>
              <w:t xml:space="preserve"> </w:t>
            </w:r>
            <w:r w:rsidRPr="00F61289">
              <w:rPr>
                <w:rFonts w:ascii="Arial" w:hAnsi="Arial" w:cs="Arial"/>
                <w:b/>
                <w:bCs/>
                <w:color w:val="000000"/>
                <w:sz w:val="16"/>
                <w:szCs w:val="16"/>
              </w:rPr>
              <w:t xml:space="preserve"> CUMULATIVE QTY</w:t>
            </w:r>
          </w:p>
        </w:tc>
      </w:tr>
      <w:tr w:rsidR="00AF481F" w:rsidRPr="00F61289" w:rsidTr="00DD08A6">
        <w:trPr>
          <w:trHeight w:val="80"/>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Focalin XR</w:t>
            </w:r>
            <w:r w:rsidRPr="00F61289">
              <w:rPr>
                <w:rFonts w:ascii="Arial" w:hAnsi="Arial" w:cs="Arial"/>
                <w:color w:val="000000"/>
                <w:sz w:val="16"/>
                <w:szCs w:val="16"/>
              </w:rPr>
              <w:t xml:space="preserve"> 5mg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5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56"/>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10mg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10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98"/>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15mg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15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43"/>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20mg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20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07"/>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25mg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25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61"/>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30mg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30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125"/>
        </w:trPr>
        <w:tc>
          <w:tcPr>
            <w:tcW w:w="4965" w:type="dxa"/>
            <w:tcBorders>
              <w:top w:val="nil"/>
              <w:left w:val="single" w:sz="8" w:space="0" w:color="auto"/>
              <w:bottom w:val="single" w:sz="4"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35mg Capsule</w:t>
            </w:r>
          </w:p>
        </w:tc>
        <w:tc>
          <w:tcPr>
            <w:tcW w:w="1260" w:type="dxa"/>
            <w:tcBorders>
              <w:top w:val="nil"/>
              <w:left w:val="nil"/>
              <w:bottom w:val="single" w:sz="4" w:space="0" w:color="auto"/>
              <w:right w:val="single" w:sz="4"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35 mg</w:t>
            </w:r>
          </w:p>
        </w:tc>
        <w:tc>
          <w:tcPr>
            <w:tcW w:w="1170" w:type="dxa"/>
            <w:tcBorders>
              <w:top w:val="nil"/>
              <w:left w:val="nil"/>
              <w:bottom w:val="single" w:sz="4"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4"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r w:rsidR="00AF481F" w:rsidRPr="00F61289" w:rsidTr="00DD08A6">
        <w:trPr>
          <w:trHeight w:val="80"/>
        </w:trPr>
        <w:tc>
          <w:tcPr>
            <w:tcW w:w="4965" w:type="dxa"/>
            <w:tcBorders>
              <w:top w:val="nil"/>
              <w:left w:val="single" w:sz="8" w:space="0" w:color="auto"/>
              <w:bottom w:val="single" w:sz="8" w:space="0" w:color="auto"/>
              <w:right w:val="single" w:sz="4" w:space="0" w:color="auto"/>
            </w:tcBorders>
            <w:shd w:val="clear" w:color="auto" w:fill="auto"/>
            <w:vAlign w:val="bottom"/>
            <w:hideMark/>
          </w:tcPr>
          <w:p w:rsidR="00AF481F" w:rsidRPr="00F61289" w:rsidRDefault="00AF481F" w:rsidP="00AF481F">
            <w:pPr>
              <w:rPr>
                <w:rFonts w:ascii="Arial" w:hAnsi="Arial" w:cs="Arial"/>
                <w:color w:val="000000"/>
                <w:sz w:val="16"/>
                <w:szCs w:val="16"/>
              </w:rPr>
            </w:pPr>
            <w:r>
              <w:rPr>
                <w:rFonts w:ascii="Arial" w:hAnsi="Arial" w:cs="Arial"/>
                <w:color w:val="000000"/>
                <w:sz w:val="16"/>
                <w:szCs w:val="16"/>
              </w:rPr>
              <w:t xml:space="preserve">Focalin XR </w:t>
            </w:r>
            <w:r w:rsidRPr="00F61289">
              <w:rPr>
                <w:rFonts w:ascii="Arial" w:hAnsi="Arial" w:cs="Arial"/>
                <w:color w:val="000000"/>
                <w:sz w:val="16"/>
                <w:szCs w:val="16"/>
              </w:rPr>
              <w:t>40mg Capsule</w:t>
            </w:r>
          </w:p>
        </w:tc>
        <w:tc>
          <w:tcPr>
            <w:tcW w:w="1260" w:type="dxa"/>
            <w:tcBorders>
              <w:top w:val="nil"/>
              <w:left w:val="nil"/>
              <w:bottom w:val="single" w:sz="8" w:space="0" w:color="auto"/>
              <w:right w:val="single" w:sz="4" w:space="0" w:color="auto"/>
            </w:tcBorders>
            <w:shd w:val="clear" w:color="auto" w:fill="auto"/>
            <w:vAlign w:val="bottom"/>
            <w:hideMark/>
          </w:tcPr>
          <w:p w:rsidR="00AF481F" w:rsidRPr="00F61289" w:rsidRDefault="00425651" w:rsidP="00AF481F">
            <w:pPr>
              <w:jc w:val="center"/>
              <w:rPr>
                <w:rFonts w:ascii="Arial" w:hAnsi="Arial" w:cs="Arial"/>
                <w:color w:val="000000"/>
                <w:sz w:val="16"/>
                <w:szCs w:val="16"/>
              </w:rPr>
            </w:pPr>
            <w:r>
              <w:rPr>
                <w:rFonts w:ascii="Arial" w:hAnsi="Arial" w:cs="Arial"/>
                <w:color w:val="000000"/>
                <w:sz w:val="16"/>
                <w:szCs w:val="16"/>
              </w:rPr>
              <w:t>40</w:t>
            </w:r>
            <w:r w:rsidR="00AF481F" w:rsidRPr="00F61289">
              <w:rPr>
                <w:rFonts w:ascii="Arial" w:hAnsi="Arial" w:cs="Arial"/>
                <w:color w:val="000000"/>
                <w:sz w:val="16"/>
                <w:szCs w:val="16"/>
              </w:rPr>
              <w:t xml:space="preserve"> mg</w:t>
            </w:r>
          </w:p>
        </w:tc>
        <w:tc>
          <w:tcPr>
            <w:tcW w:w="1170" w:type="dxa"/>
            <w:tcBorders>
              <w:top w:val="nil"/>
              <w:left w:val="nil"/>
              <w:bottom w:val="single" w:sz="8" w:space="0" w:color="auto"/>
              <w:right w:val="single" w:sz="4" w:space="0" w:color="auto"/>
            </w:tcBorders>
            <w:shd w:val="clear" w:color="auto" w:fill="auto"/>
            <w:noWrap/>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1</w:t>
            </w:r>
          </w:p>
        </w:tc>
        <w:tc>
          <w:tcPr>
            <w:tcW w:w="1620" w:type="dxa"/>
            <w:gridSpan w:val="2"/>
            <w:tcBorders>
              <w:top w:val="nil"/>
              <w:left w:val="nil"/>
              <w:bottom w:val="single" w:sz="8" w:space="0" w:color="auto"/>
              <w:right w:val="single" w:sz="8" w:space="0" w:color="auto"/>
            </w:tcBorders>
            <w:shd w:val="clear" w:color="auto" w:fill="auto"/>
            <w:vAlign w:val="bottom"/>
            <w:hideMark/>
          </w:tcPr>
          <w:p w:rsidR="00AF481F" w:rsidRPr="00F61289" w:rsidRDefault="00AF481F" w:rsidP="00AF481F">
            <w:pPr>
              <w:jc w:val="center"/>
              <w:rPr>
                <w:rFonts w:ascii="Arial" w:hAnsi="Arial" w:cs="Arial"/>
                <w:color w:val="000000"/>
                <w:sz w:val="16"/>
                <w:szCs w:val="16"/>
              </w:rPr>
            </w:pPr>
            <w:r w:rsidRPr="00F61289">
              <w:rPr>
                <w:rFonts w:ascii="Arial" w:hAnsi="Arial" w:cs="Arial"/>
                <w:color w:val="000000"/>
                <w:sz w:val="16"/>
                <w:szCs w:val="16"/>
              </w:rPr>
              <w:t>31</w:t>
            </w:r>
          </w:p>
        </w:tc>
      </w:tr>
    </w:tbl>
    <w:p w:rsidR="00F61289" w:rsidRPr="009132A2" w:rsidRDefault="00F61289" w:rsidP="009132A2">
      <w:pPr>
        <w:rPr>
          <w:rFonts w:ascii="Arial" w:hAnsi="Arial" w:cs="Arial"/>
          <w:b/>
          <w:i/>
          <w:sz w:val="18"/>
          <w:szCs w:val="18"/>
        </w:rPr>
      </w:pPr>
    </w:p>
    <w:p w:rsidR="008D2077" w:rsidRDefault="008D2077" w:rsidP="00CB205B">
      <w:pPr>
        <w:pStyle w:val="ListParagraph"/>
        <w:rPr>
          <w:rFonts w:ascii="Arial" w:hAnsi="Arial" w:cs="Arial"/>
          <w:bCs/>
          <w:sz w:val="18"/>
          <w:szCs w:val="18"/>
        </w:rPr>
      </w:pPr>
      <w:r w:rsidRPr="00464DAF">
        <w:rPr>
          <w:rFonts w:ascii="Arial" w:hAnsi="Arial" w:cs="Arial"/>
          <w:b/>
          <w:i/>
          <w:sz w:val="18"/>
          <w:szCs w:val="18"/>
        </w:rPr>
        <w:t>All calls regarding prior authorization or for a copy of the</w:t>
      </w:r>
      <w:r w:rsidR="00354BBC">
        <w:rPr>
          <w:rFonts w:ascii="Arial" w:hAnsi="Arial" w:cs="Arial"/>
          <w:b/>
          <w:i/>
          <w:sz w:val="18"/>
          <w:szCs w:val="18"/>
        </w:rPr>
        <w:t xml:space="preserve"> Statement of Medical Necessity</w:t>
      </w:r>
      <w:r w:rsidRPr="00464DAF">
        <w:rPr>
          <w:rFonts w:ascii="Arial" w:hAnsi="Arial" w:cs="Arial"/>
          <w:b/>
          <w:i/>
          <w:sz w:val="18"/>
          <w:szCs w:val="18"/>
        </w:rPr>
        <w:t xml:space="preserve"> should be directed to the EBRx PA Call Center Toll Free 1-866-250-2518 or Local 501-526-4200, or</w:t>
      </w:r>
      <w:r w:rsidRPr="00464DAF">
        <w:rPr>
          <w:rFonts w:ascii="Arial" w:hAnsi="Arial" w:cs="Arial"/>
          <w:sz w:val="18"/>
          <w:szCs w:val="18"/>
        </w:rPr>
        <w:t xml:space="preserve"> </w:t>
      </w:r>
      <w:r w:rsidRPr="00464DAF">
        <w:rPr>
          <w:rFonts w:ascii="Arial" w:hAnsi="Arial" w:cs="Arial"/>
          <w:b/>
          <w:bCs/>
          <w:i/>
          <w:sz w:val="18"/>
          <w:szCs w:val="18"/>
        </w:rPr>
        <w:t>Fax 501-526-4188</w:t>
      </w:r>
      <w:r w:rsidR="00AE5B33">
        <w:rPr>
          <w:rFonts w:ascii="Arial" w:hAnsi="Arial" w:cs="Arial"/>
          <w:bCs/>
          <w:sz w:val="18"/>
          <w:szCs w:val="18"/>
        </w:rPr>
        <w:t>.</w:t>
      </w:r>
    </w:p>
    <w:p w:rsidR="002336BF" w:rsidRDefault="002336BF" w:rsidP="008D2077">
      <w:pPr>
        <w:pStyle w:val="ListParagraph"/>
        <w:rPr>
          <w:rFonts w:ascii="Arial" w:hAnsi="Arial" w:cs="Arial"/>
          <w:bCs/>
          <w:sz w:val="18"/>
          <w:szCs w:val="18"/>
        </w:rPr>
      </w:pPr>
    </w:p>
    <w:p w:rsidR="001F5598" w:rsidRPr="005916DD" w:rsidRDefault="001F5598" w:rsidP="001F5598">
      <w:pPr>
        <w:pStyle w:val="ListParagraph"/>
        <w:numPr>
          <w:ilvl w:val="1"/>
          <w:numId w:val="6"/>
        </w:numPr>
        <w:rPr>
          <w:rFonts w:ascii="Arial" w:hAnsi="Arial" w:cs="Arial"/>
          <w:sz w:val="18"/>
          <w:szCs w:val="18"/>
        </w:rPr>
      </w:pPr>
      <w:r w:rsidRPr="001F5598">
        <w:rPr>
          <w:rFonts w:ascii="Arial" w:hAnsi="Arial" w:cs="Arial"/>
          <w:b/>
          <w:sz w:val="18"/>
          <w:szCs w:val="18"/>
          <w:u w:val="single"/>
        </w:rPr>
        <w:t>Insulin Pens for which a Multi-dose Vial</w:t>
      </w:r>
      <w:r w:rsidR="00AE5B33">
        <w:rPr>
          <w:rFonts w:ascii="Arial" w:hAnsi="Arial" w:cs="Arial"/>
          <w:b/>
          <w:sz w:val="18"/>
          <w:szCs w:val="18"/>
          <w:u w:val="single"/>
        </w:rPr>
        <w:t xml:space="preserve"> of the Same Formulation exists</w:t>
      </w:r>
    </w:p>
    <w:p w:rsidR="005916DD" w:rsidRDefault="005916DD" w:rsidP="005916DD">
      <w:pPr>
        <w:ind w:left="1440"/>
        <w:rPr>
          <w:rFonts w:ascii="Arial" w:hAnsi="Arial" w:cs="Arial"/>
          <w:sz w:val="18"/>
          <w:szCs w:val="18"/>
        </w:rPr>
      </w:pPr>
      <w:r>
        <w:rPr>
          <w:rFonts w:ascii="Arial" w:hAnsi="Arial" w:cs="Arial"/>
          <w:sz w:val="18"/>
          <w:szCs w:val="18"/>
        </w:rPr>
        <w:t xml:space="preserve">The point-of-sale continuation </w:t>
      </w:r>
      <w:r w:rsidR="00ED2B37">
        <w:rPr>
          <w:rFonts w:ascii="Arial" w:hAnsi="Arial" w:cs="Arial"/>
          <w:sz w:val="18"/>
          <w:szCs w:val="18"/>
        </w:rPr>
        <w:t>criteria for the insulin pens have</w:t>
      </w:r>
      <w:r w:rsidR="00AE5B33">
        <w:rPr>
          <w:rFonts w:ascii="Arial" w:hAnsi="Arial" w:cs="Arial"/>
          <w:sz w:val="18"/>
          <w:szCs w:val="18"/>
        </w:rPr>
        <w:t xml:space="preserve"> been revised as follows:</w:t>
      </w:r>
    </w:p>
    <w:p w:rsidR="005916DD" w:rsidRDefault="005916DD" w:rsidP="005916DD">
      <w:pPr>
        <w:ind w:left="1440"/>
        <w:rPr>
          <w:rFonts w:ascii="Arial" w:hAnsi="Arial" w:cs="Arial"/>
          <w:sz w:val="18"/>
          <w:szCs w:val="18"/>
        </w:rPr>
      </w:pPr>
    </w:p>
    <w:p w:rsidR="005916DD" w:rsidRDefault="005916DD" w:rsidP="005916DD">
      <w:pPr>
        <w:pStyle w:val="ListParagraph"/>
        <w:numPr>
          <w:ilvl w:val="0"/>
          <w:numId w:val="28"/>
        </w:numPr>
        <w:rPr>
          <w:rFonts w:ascii="Arial" w:hAnsi="Arial" w:cs="Arial"/>
          <w:sz w:val="18"/>
          <w:szCs w:val="18"/>
        </w:rPr>
      </w:pPr>
      <w:r w:rsidRPr="005916DD">
        <w:rPr>
          <w:rFonts w:ascii="Arial" w:hAnsi="Arial" w:cs="Arial"/>
          <w:sz w:val="18"/>
          <w:szCs w:val="18"/>
        </w:rPr>
        <w:t xml:space="preserve">Claims for all insulin pens for children </w:t>
      </w:r>
      <w:r w:rsidR="00001ADB" w:rsidRPr="00BA52CE">
        <w:rPr>
          <w:rFonts w:ascii="Arial" w:hAnsi="Arial" w:cs="Arial"/>
          <w:sz w:val="18"/>
          <w:szCs w:val="18"/>
        </w:rPr>
        <w:t>≤</w:t>
      </w:r>
      <w:r w:rsidRPr="005916DD">
        <w:rPr>
          <w:rFonts w:ascii="Arial" w:hAnsi="Arial" w:cs="Arial"/>
          <w:sz w:val="18"/>
          <w:szCs w:val="18"/>
        </w:rPr>
        <w:t xml:space="preserve"> 18 yrs of age pay at POS; AND</w:t>
      </w:r>
    </w:p>
    <w:p w:rsidR="005916DD" w:rsidRPr="005916DD" w:rsidRDefault="005916DD" w:rsidP="005916DD">
      <w:pPr>
        <w:pStyle w:val="ListParagraph"/>
        <w:numPr>
          <w:ilvl w:val="0"/>
          <w:numId w:val="28"/>
        </w:numPr>
        <w:rPr>
          <w:rFonts w:ascii="Arial" w:hAnsi="Arial" w:cs="Arial"/>
          <w:sz w:val="18"/>
          <w:szCs w:val="18"/>
        </w:rPr>
      </w:pPr>
      <w:r w:rsidRPr="005916DD">
        <w:rPr>
          <w:rFonts w:ascii="Arial" w:hAnsi="Arial" w:cs="Arial"/>
          <w:sz w:val="18"/>
          <w:szCs w:val="18"/>
        </w:rPr>
        <w:t xml:space="preserve">Quantity for all insulin pens for children </w:t>
      </w:r>
      <w:r w:rsidR="00001ADB" w:rsidRPr="00BA52CE">
        <w:rPr>
          <w:rFonts w:ascii="Arial" w:hAnsi="Arial" w:cs="Arial"/>
          <w:sz w:val="18"/>
          <w:szCs w:val="18"/>
        </w:rPr>
        <w:t>≤</w:t>
      </w:r>
      <w:r w:rsidRPr="005916DD">
        <w:rPr>
          <w:rFonts w:ascii="Arial" w:hAnsi="Arial" w:cs="Arial"/>
          <w:sz w:val="18"/>
          <w:szCs w:val="18"/>
        </w:rPr>
        <w:t xml:space="preserve"> 18 yrs of age cannot exceed 15 ml per </w:t>
      </w:r>
      <w:r>
        <w:rPr>
          <w:rFonts w:ascii="Arial" w:hAnsi="Arial" w:cs="Arial"/>
          <w:sz w:val="18"/>
          <w:szCs w:val="18"/>
        </w:rPr>
        <w:t xml:space="preserve">31-day supply entered; </w:t>
      </w:r>
      <w:r w:rsidRPr="005916DD">
        <w:rPr>
          <w:rFonts w:ascii="Arial" w:hAnsi="Arial" w:cs="Arial"/>
          <w:sz w:val="18"/>
          <w:szCs w:val="18"/>
        </w:rPr>
        <w:t>AND</w:t>
      </w:r>
    </w:p>
    <w:p w:rsidR="00023218" w:rsidRDefault="00023218" w:rsidP="00023218">
      <w:pPr>
        <w:pStyle w:val="ListParagraph"/>
        <w:numPr>
          <w:ilvl w:val="0"/>
          <w:numId w:val="28"/>
        </w:numPr>
        <w:rPr>
          <w:rFonts w:ascii="Arial" w:hAnsi="Arial" w:cs="Arial"/>
          <w:sz w:val="18"/>
          <w:szCs w:val="18"/>
        </w:rPr>
      </w:pPr>
      <w:r w:rsidRPr="00023218">
        <w:rPr>
          <w:rFonts w:ascii="Arial" w:hAnsi="Arial" w:cs="Arial"/>
          <w:sz w:val="18"/>
          <w:szCs w:val="18"/>
        </w:rPr>
        <w:lastRenderedPageBreak/>
        <w:t xml:space="preserve">If the child is </w:t>
      </w:r>
      <w:r w:rsidR="00001ADB" w:rsidRPr="00001ADB">
        <w:rPr>
          <w:rFonts w:ascii="Arial" w:hAnsi="Arial" w:cs="Arial"/>
          <w:sz w:val="18"/>
          <w:szCs w:val="18"/>
        </w:rPr>
        <w:t>≤</w:t>
      </w:r>
      <w:r w:rsidRPr="00023218">
        <w:rPr>
          <w:rFonts w:ascii="Arial" w:hAnsi="Arial" w:cs="Arial"/>
          <w:sz w:val="18"/>
          <w:szCs w:val="18"/>
        </w:rPr>
        <w:t xml:space="preserve"> 18 years of age and designated as long-term care (LTC) in the Medicaid system, the claims for pens will not pay at POS unless they meet the (P</w:t>
      </w:r>
      <w:r w:rsidR="00AE5B33">
        <w:rPr>
          <w:rFonts w:ascii="Arial" w:hAnsi="Arial" w:cs="Arial"/>
          <w:sz w:val="18"/>
          <w:szCs w:val="18"/>
        </w:rPr>
        <w:t>OS) continuation criteria below</w:t>
      </w:r>
    </w:p>
    <w:p w:rsidR="005F2D22" w:rsidRPr="005F2D22" w:rsidRDefault="005F2D22" w:rsidP="00023218">
      <w:pPr>
        <w:pStyle w:val="ListParagraph"/>
        <w:numPr>
          <w:ilvl w:val="0"/>
          <w:numId w:val="28"/>
        </w:numPr>
        <w:rPr>
          <w:rFonts w:ascii="Arial" w:hAnsi="Arial" w:cs="Arial"/>
          <w:sz w:val="18"/>
          <w:szCs w:val="18"/>
        </w:rPr>
      </w:pPr>
      <w:r w:rsidRPr="005F2D22">
        <w:rPr>
          <w:rFonts w:ascii="Arial" w:hAnsi="Arial" w:cs="Arial"/>
          <w:sz w:val="18"/>
          <w:szCs w:val="18"/>
        </w:rPr>
        <w:t xml:space="preserve">Point of Sale (POS) </w:t>
      </w:r>
      <w:r>
        <w:rPr>
          <w:rFonts w:ascii="Arial" w:hAnsi="Arial" w:cs="Arial"/>
          <w:sz w:val="18"/>
          <w:szCs w:val="18"/>
        </w:rPr>
        <w:t xml:space="preserve">continuation </w:t>
      </w:r>
      <w:r w:rsidRPr="005F2D22">
        <w:rPr>
          <w:rFonts w:ascii="Arial" w:hAnsi="Arial" w:cs="Arial"/>
          <w:sz w:val="18"/>
          <w:szCs w:val="18"/>
        </w:rPr>
        <w:t xml:space="preserve">criteria </w:t>
      </w:r>
      <w:r>
        <w:rPr>
          <w:rFonts w:ascii="Arial" w:hAnsi="Arial" w:cs="Arial"/>
          <w:sz w:val="18"/>
          <w:szCs w:val="18"/>
        </w:rPr>
        <w:t>will apply to all beneficiaries age 19 and older and all LTC-eligible beneficiaries</w:t>
      </w:r>
      <w:r w:rsidRPr="005F2D22">
        <w:rPr>
          <w:rFonts w:ascii="Arial" w:hAnsi="Arial" w:cs="Arial"/>
          <w:sz w:val="18"/>
          <w:szCs w:val="18"/>
        </w:rPr>
        <w:t xml:space="preserve"> who are “stable and compliant” on the insulin pen formulation. “Stable and compliant” definition was changed in this criterion to </w:t>
      </w:r>
      <w:r w:rsidR="00001ADB">
        <w:rPr>
          <w:rFonts w:ascii="Arial" w:hAnsi="Arial" w:cs="Arial"/>
          <w:sz w:val="18"/>
          <w:szCs w:val="18"/>
        </w:rPr>
        <w:t>≥</w:t>
      </w:r>
      <w:r w:rsidRPr="005F2D22">
        <w:rPr>
          <w:rFonts w:ascii="Arial" w:hAnsi="Arial" w:cs="Arial"/>
          <w:sz w:val="18"/>
          <w:szCs w:val="18"/>
        </w:rPr>
        <w:t xml:space="preserve"> 90 days of </w:t>
      </w:r>
      <w:r>
        <w:rPr>
          <w:rFonts w:ascii="Arial" w:hAnsi="Arial" w:cs="Arial"/>
          <w:sz w:val="18"/>
          <w:szCs w:val="18"/>
        </w:rPr>
        <w:t xml:space="preserve">the same insulin pen formulation </w:t>
      </w:r>
      <w:r w:rsidRPr="005F2D22">
        <w:rPr>
          <w:rFonts w:ascii="Arial" w:hAnsi="Arial" w:cs="Arial"/>
          <w:sz w:val="18"/>
          <w:szCs w:val="18"/>
        </w:rPr>
        <w:t>medic</w:t>
      </w:r>
      <w:r w:rsidR="00AE5B33">
        <w:rPr>
          <w:rFonts w:ascii="Arial" w:hAnsi="Arial" w:cs="Arial"/>
          <w:sz w:val="18"/>
          <w:szCs w:val="18"/>
        </w:rPr>
        <w:t>ation in the previous 120 days.</w:t>
      </w:r>
    </w:p>
    <w:p w:rsidR="005F2D22" w:rsidRPr="005916DD" w:rsidRDefault="005F2D22" w:rsidP="005F2D22">
      <w:pPr>
        <w:pStyle w:val="ListParagraph"/>
        <w:ind w:left="2160"/>
        <w:rPr>
          <w:rFonts w:ascii="Arial" w:hAnsi="Arial" w:cs="Arial"/>
          <w:sz w:val="18"/>
          <w:szCs w:val="18"/>
        </w:rPr>
      </w:pPr>
    </w:p>
    <w:p w:rsidR="001F5598" w:rsidRPr="00464DAF" w:rsidRDefault="001F5598" w:rsidP="001F5598">
      <w:pPr>
        <w:pStyle w:val="ListParagraph"/>
        <w:ind w:left="1440"/>
        <w:rPr>
          <w:rFonts w:ascii="Arial" w:hAnsi="Arial" w:cs="Arial"/>
          <w:sz w:val="18"/>
          <w:szCs w:val="18"/>
        </w:rPr>
      </w:pPr>
      <w:r w:rsidRPr="00464DAF">
        <w:rPr>
          <w:rFonts w:ascii="Arial" w:hAnsi="Arial" w:cs="Arial"/>
          <w:sz w:val="18"/>
          <w:szCs w:val="18"/>
        </w:rPr>
        <w:t xml:space="preserve">The criteria on the insulin pen formulation applies to all strengths of the following insulin pens: Apridra® (insulin glulisine), Humalog® (insulin lispro), Humalog® Mix 50-50, Humalog® Mix 75-25, Humulin® (insulin human) N, Humulin® R, Lantus® (insulin glargine), Levemir® (insulin detemir), Novolin® (human insulin) 70-30, Novolin® N, Novolin® R, NovoLog® (insulin aspart), NovoLog® Mix 70-30, Relion Humulin® 70-30, Relion Humulin® N, Relion Humulin® R, Relion Novolin® 70-30, </w:t>
      </w:r>
      <w:r>
        <w:rPr>
          <w:rFonts w:ascii="Arial" w:hAnsi="Arial" w:cs="Arial"/>
          <w:sz w:val="18"/>
          <w:szCs w:val="18"/>
        </w:rPr>
        <w:t xml:space="preserve">and </w:t>
      </w:r>
      <w:r w:rsidR="00107916">
        <w:rPr>
          <w:rFonts w:ascii="Arial" w:hAnsi="Arial" w:cs="Arial"/>
          <w:sz w:val="18"/>
          <w:szCs w:val="18"/>
        </w:rPr>
        <w:t xml:space="preserve">Relion Novolin® N. </w:t>
      </w:r>
      <w:r w:rsidRPr="00464DAF">
        <w:rPr>
          <w:rFonts w:ascii="Arial" w:hAnsi="Arial" w:cs="Arial"/>
          <w:sz w:val="18"/>
          <w:szCs w:val="18"/>
        </w:rPr>
        <w:t>As new pen formulations that have multidose vial</w:t>
      </w:r>
      <w:r w:rsidR="00354BBC">
        <w:rPr>
          <w:rFonts w:ascii="Arial" w:hAnsi="Arial" w:cs="Arial"/>
          <w:sz w:val="18"/>
          <w:szCs w:val="18"/>
        </w:rPr>
        <w:t>s</w:t>
      </w:r>
      <w:r w:rsidRPr="00464DAF">
        <w:rPr>
          <w:rFonts w:ascii="Arial" w:hAnsi="Arial" w:cs="Arial"/>
          <w:sz w:val="18"/>
          <w:szCs w:val="18"/>
        </w:rPr>
        <w:t xml:space="preserve"> of the same formulation come to market, the pen formulations will be adde</w:t>
      </w:r>
      <w:r w:rsidR="00AE5B33">
        <w:rPr>
          <w:rFonts w:ascii="Arial" w:hAnsi="Arial" w:cs="Arial"/>
          <w:sz w:val="18"/>
          <w:szCs w:val="18"/>
        </w:rPr>
        <w:t>d to the manual review PA list.</w:t>
      </w:r>
    </w:p>
    <w:p w:rsidR="001F5598" w:rsidRDefault="001F5598" w:rsidP="001F5598">
      <w:pPr>
        <w:ind w:left="1080"/>
        <w:rPr>
          <w:rFonts w:ascii="Arial" w:hAnsi="Arial" w:cs="Arial"/>
          <w:b/>
          <w:sz w:val="18"/>
          <w:szCs w:val="18"/>
          <w:u w:val="single"/>
        </w:rPr>
      </w:pPr>
    </w:p>
    <w:p w:rsidR="002336BF" w:rsidRPr="00B57AF1" w:rsidRDefault="005B4785" w:rsidP="00B57AF1">
      <w:pPr>
        <w:pStyle w:val="ListParagraph"/>
        <w:numPr>
          <w:ilvl w:val="1"/>
          <w:numId w:val="6"/>
        </w:numPr>
        <w:rPr>
          <w:rFonts w:ascii="Arial" w:hAnsi="Arial" w:cs="Arial"/>
          <w:b/>
          <w:sz w:val="18"/>
          <w:szCs w:val="18"/>
          <w:u w:val="single"/>
        </w:rPr>
      </w:pPr>
      <w:r>
        <w:rPr>
          <w:rFonts w:ascii="Arial" w:hAnsi="Arial" w:cs="Arial"/>
          <w:b/>
          <w:sz w:val="18"/>
          <w:szCs w:val="18"/>
          <w:u w:val="single"/>
        </w:rPr>
        <w:t>G</w:t>
      </w:r>
      <w:r w:rsidRPr="00B57AF1">
        <w:rPr>
          <w:rFonts w:ascii="Arial" w:hAnsi="Arial" w:cs="Arial"/>
          <w:b/>
          <w:sz w:val="18"/>
          <w:szCs w:val="18"/>
          <w:u w:val="single"/>
        </w:rPr>
        <w:t>lycopyrrolate 0.2 mg/ml vial</w:t>
      </w:r>
      <w:r>
        <w:rPr>
          <w:rFonts w:ascii="Arial" w:hAnsi="Arial" w:cs="Arial"/>
          <w:b/>
          <w:sz w:val="18"/>
          <w:szCs w:val="18"/>
          <w:u w:val="single"/>
        </w:rPr>
        <w:t>, and</w:t>
      </w:r>
      <w:r w:rsidRPr="00B57AF1">
        <w:rPr>
          <w:rFonts w:ascii="Arial" w:hAnsi="Arial" w:cs="Arial"/>
          <w:b/>
          <w:sz w:val="18"/>
          <w:szCs w:val="18"/>
          <w:u w:val="single"/>
        </w:rPr>
        <w:t xml:space="preserve"> </w:t>
      </w:r>
      <w:r w:rsidR="002336BF" w:rsidRPr="00B57AF1">
        <w:rPr>
          <w:rFonts w:ascii="Arial" w:hAnsi="Arial" w:cs="Arial"/>
          <w:b/>
          <w:sz w:val="18"/>
          <w:szCs w:val="18"/>
          <w:u w:val="single"/>
        </w:rPr>
        <w:t>Cuvposa</w:t>
      </w:r>
      <w:r w:rsidR="009564D7" w:rsidRPr="00B57AF1">
        <w:rPr>
          <w:rFonts w:ascii="Arial" w:hAnsi="Arial" w:cs="Arial"/>
          <w:b/>
          <w:sz w:val="18"/>
          <w:szCs w:val="18"/>
          <w:u w:val="single"/>
        </w:rPr>
        <w:t>®</w:t>
      </w:r>
      <w:r w:rsidR="002336BF" w:rsidRPr="00B57AF1">
        <w:rPr>
          <w:rFonts w:ascii="Arial" w:hAnsi="Arial" w:cs="Arial"/>
          <w:b/>
          <w:sz w:val="18"/>
          <w:szCs w:val="18"/>
          <w:u w:val="single"/>
        </w:rPr>
        <w:t xml:space="preserve"> (glycopyrrolate) </w:t>
      </w:r>
      <w:r w:rsidR="00CB205B">
        <w:rPr>
          <w:rFonts w:ascii="Arial" w:hAnsi="Arial" w:cs="Arial"/>
          <w:b/>
          <w:sz w:val="18"/>
          <w:szCs w:val="18"/>
          <w:u w:val="single"/>
        </w:rPr>
        <w:t xml:space="preserve">1 mg/5 ml </w:t>
      </w:r>
      <w:r w:rsidR="002336BF" w:rsidRPr="00B57AF1">
        <w:rPr>
          <w:rFonts w:ascii="Arial" w:hAnsi="Arial" w:cs="Arial"/>
          <w:b/>
          <w:sz w:val="18"/>
          <w:szCs w:val="18"/>
          <w:u w:val="single"/>
        </w:rPr>
        <w:t xml:space="preserve">oral solution: </w:t>
      </w:r>
    </w:p>
    <w:p w:rsidR="00553694" w:rsidRDefault="00CB205B" w:rsidP="00DD08A6">
      <w:pPr>
        <w:pStyle w:val="ListParagraph"/>
        <w:ind w:left="1440"/>
        <w:rPr>
          <w:rFonts w:ascii="Arial" w:hAnsi="Arial" w:cs="Arial"/>
          <w:bCs/>
          <w:sz w:val="18"/>
          <w:szCs w:val="18"/>
        </w:rPr>
      </w:pPr>
      <w:r w:rsidRPr="00741478">
        <w:rPr>
          <w:rFonts w:ascii="Arial" w:hAnsi="Arial" w:cs="Arial"/>
          <w:bCs/>
          <w:sz w:val="18"/>
          <w:szCs w:val="18"/>
        </w:rPr>
        <w:t>Cuvposa</w:t>
      </w:r>
      <w:r>
        <w:rPr>
          <w:rFonts w:ascii="Arial" w:hAnsi="Arial" w:cs="Arial"/>
          <w:bCs/>
          <w:sz w:val="18"/>
          <w:szCs w:val="18"/>
        </w:rPr>
        <w:t>®</w:t>
      </w:r>
      <w:r w:rsidR="00741478" w:rsidRPr="00741478">
        <w:rPr>
          <w:rFonts w:ascii="Arial" w:hAnsi="Arial" w:cs="Arial"/>
          <w:bCs/>
          <w:sz w:val="18"/>
          <w:szCs w:val="18"/>
        </w:rPr>
        <w:t xml:space="preserve"> </w:t>
      </w:r>
      <w:r w:rsidR="005B4785">
        <w:rPr>
          <w:rFonts w:ascii="Arial" w:hAnsi="Arial" w:cs="Arial"/>
          <w:bCs/>
          <w:sz w:val="18"/>
          <w:szCs w:val="18"/>
        </w:rPr>
        <w:t xml:space="preserve">(glycopyrrolate) </w:t>
      </w:r>
      <w:r w:rsidR="00741478" w:rsidRPr="00741478">
        <w:rPr>
          <w:rFonts w:ascii="Arial" w:hAnsi="Arial" w:cs="Arial"/>
          <w:bCs/>
          <w:sz w:val="18"/>
          <w:szCs w:val="18"/>
        </w:rPr>
        <w:t>is indicated to reduce chronic severe drooling in patients aged 3 to 16 years with neurologic conditions associated with problem drooling (e.g., cerebral palsy).</w:t>
      </w:r>
    </w:p>
    <w:p w:rsidR="00553694" w:rsidRDefault="00553694" w:rsidP="00B57AF1">
      <w:pPr>
        <w:pStyle w:val="ListParagraph"/>
        <w:ind w:left="1080"/>
        <w:rPr>
          <w:rFonts w:ascii="Arial" w:hAnsi="Arial" w:cs="Arial"/>
          <w:bCs/>
          <w:sz w:val="18"/>
          <w:szCs w:val="18"/>
        </w:rPr>
      </w:pPr>
    </w:p>
    <w:p w:rsidR="00CB205B" w:rsidRDefault="00CB205B" w:rsidP="00DD08A6">
      <w:pPr>
        <w:pStyle w:val="ListParagraph"/>
        <w:ind w:left="1440"/>
        <w:rPr>
          <w:rFonts w:ascii="Arial" w:hAnsi="Arial" w:cs="Arial"/>
          <w:bCs/>
          <w:sz w:val="18"/>
          <w:szCs w:val="18"/>
        </w:rPr>
      </w:pPr>
      <w:r>
        <w:rPr>
          <w:rFonts w:ascii="Arial" w:hAnsi="Arial" w:cs="Arial"/>
          <w:bCs/>
          <w:sz w:val="18"/>
          <w:szCs w:val="18"/>
        </w:rPr>
        <w:t>The Cuvposa® oral solution manual review PA criteria have been removed and the claims will go through at point-of-s</w:t>
      </w:r>
      <w:r w:rsidR="00AE5B33">
        <w:rPr>
          <w:rFonts w:ascii="Arial" w:hAnsi="Arial" w:cs="Arial"/>
          <w:bCs/>
          <w:sz w:val="18"/>
          <w:szCs w:val="18"/>
        </w:rPr>
        <w:t>ale without a manual review PA.</w:t>
      </w:r>
      <w:r>
        <w:rPr>
          <w:rFonts w:ascii="Arial" w:hAnsi="Arial" w:cs="Arial"/>
          <w:bCs/>
          <w:sz w:val="18"/>
          <w:szCs w:val="18"/>
        </w:rPr>
        <w:t xml:space="preserve"> Existing quantity edits will remain in effect.</w:t>
      </w:r>
    </w:p>
    <w:p w:rsidR="00CB205B" w:rsidRDefault="00CB205B" w:rsidP="00CB205B">
      <w:pPr>
        <w:pStyle w:val="ListParagraph"/>
        <w:ind w:left="1080"/>
        <w:rPr>
          <w:rFonts w:ascii="Arial" w:hAnsi="Arial" w:cs="Arial"/>
          <w:bCs/>
          <w:sz w:val="18"/>
          <w:szCs w:val="18"/>
        </w:rPr>
      </w:pPr>
    </w:p>
    <w:p w:rsidR="00010B8C" w:rsidRDefault="00553694" w:rsidP="00001ADB">
      <w:pPr>
        <w:pStyle w:val="ListParagraph"/>
        <w:ind w:left="1440"/>
        <w:rPr>
          <w:rFonts w:ascii="Arial" w:hAnsi="Arial" w:cs="Arial"/>
          <w:bCs/>
          <w:sz w:val="18"/>
          <w:szCs w:val="18"/>
        </w:rPr>
      </w:pPr>
      <w:r w:rsidRPr="00464DAF">
        <w:rPr>
          <w:rFonts w:ascii="Arial" w:hAnsi="Arial" w:cs="Arial"/>
          <w:sz w:val="18"/>
          <w:szCs w:val="18"/>
        </w:rPr>
        <w:t xml:space="preserve">Manual Review PA will be required for all requests for </w:t>
      </w:r>
      <w:r w:rsidR="00E4117F">
        <w:rPr>
          <w:rFonts w:ascii="Arial" w:hAnsi="Arial" w:cs="Arial"/>
          <w:bCs/>
          <w:sz w:val="18"/>
          <w:szCs w:val="18"/>
        </w:rPr>
        <w:t>G</w:t>
      </w:r>
      <w:r w:rsidR="00435549">
        <w:rPr>
          <w:rFonts w:ascii="Arial" w:hAnsi="Arial" w:cs="Arial"/>
          <w:bCs/>
          <w:sz w:val="18"/>
          <w:szCs w:val="18"/>
        </w:rPr>
        <w:t>lycopyrrolate</w:t>
      </w:r>
      <w:r w:rsidR="009564D7">
        <w:rPr>
          <w:rFonts w:ascii="Arial" w:hAnsi="Arial" w:cs="Arial"/>
          <w:bCs/>
          <w:sz w:val="18"/>
          <w:szCs w:val="18"/>
        </w:rPr>
        <w:t xml:space="preserve"> </w:t>
      </w:r>
      <w:r w:rsidR="00CB205B">
        <w:rPr>
          <w:rFonts w:ascii="Arial" w:hAnsi="Arial" w:cs="Arial"/>
          <w:bCs/>
          <w:sz w:val="18"/>
          <w:szCs w:val="18"/>
        </w:rPr>
        <w:t xml:space="preserve">0.2 mg/ml </w:t>
      </w:r>
      <w:r w:rsidR="009564D7">
        <w:rPr>
          <w:rFonts w:ascii="Arial" w:hAnsi="Arial" w:cs="Arial"/>
          <w:bCs/>
          <w:sz w:val="18"/>
          <w:szCs w:val="18"/>
        </w:rPr>
        <w:t>vial</w:t>
      </w:r>
      <w:r>
        <w:rPr>
          <w:rFonts w:ascii="Arial" w:hAnsi="Arial" w:cs="Arial"/>
          <w:bCs/>
          <w:sz w:val="18"/>
          <w:szCs w:val="18"/>
        </w:rPr>
        <w:t>s</w:t>
      </w:r>
      <w:r w:rsidR="00AE5B33">
        <w:rPr>
          <w:rFonts w:ascii="Arial" w:hAnsi="Arial" w:cs="Arial"/>
          <w:bCs/>
          <w:sz w:val="18"/>
          <w:szCs w:val="18"/>
        </w:rPr>
        <w:t xml:space="preserve"> on a case-by-case basis.</w:t>
      </w:r>
    </w:p>
    <w:p w:rsidR="00DD08A6" w:rsidRDefault="00DD08A6" w:rsidP="007153D2">
      <w:pPr>
        <w:pStyle w:val="ListParagraph"/>
        <w:tabs>
          <w:tab w:val="left" w:pos="1095"/>
        </w:tabs>
        <w:ind w:left="1080"/>
        <w:rPr>
          <w:rFonts w:ascii="Arial" w:hAnsi="Arial" w:cs="Arial"/>
          <w:b/>
          <w:sz w:val="18"/>
          <w:szCs w:val="18"/>
        </w:rPr>
      </w:pPr>
    </w:p>
    <w:p w:rsidR="007153D2" w:rsidRDefault="007153D2" w:rsidP="007153D2">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AE5B33">
        <w:rPr>
          <w:rFonts w:ascii="Arial" w:hAnsi="Arial" w:cs="Arial"/>
          <w:b/>
          <w:sz w:val="18"/>
          <w:szCs w:val="18"/>
        </w:rPr>
        <w:t>.</w:t>
      </w:r>
    </w:p>
    <w:p w:rsidR="00805B0D" w:rsidRDefault="00805B0D" w:rsidP="007153D2">
      <w:pPr>
        <w:pStyle w:val="ListParagraph"/>
        <w:tabs>
          <w:tab w:val="left" w:pos="1095"/>
        </w:tabs>
        <w:ind w:left="1080"/>
        <w:rPr>
          <w:rFonts w:ascii="Arial" w:hAnsi="Arial" w:cs="Arial"/>
          <w:b/>
          <w:sz w:val="18"/>
          <w:szCs w:val="18"/>
        </w:rPr>
      </w:pPr>
    </w:p>
    <w:p w:rsidR="00805B0D" w:rsidRDefault="00805B0D" w:rsidP="00805B0D">
      <w:pPr>
        <w:pStyle w:val="ListParagraph"/>
        <w:numPr>
          <w:ilvl w:val="1"/>
          <w:numId w:val="6"/>
        </w:numPr>
        <w:rPr>
          <w:rFonts w:ascii="Arial" w:hAnsi="Arial" w:cs="Arial"/>
          <w:b/>
          <w:sz w:val="18"/>
          <w:szCs w:val="18"/>
          <w:u w:val="single"/>
        </w:rPr>
      </w:pPr>
      <w:r>
        <w:rPr>
          <w:rFonts w:ascii="Arial" w:hAnsi="Arial" w:cs="Arial"/>
          <w:b/>
          <w:sz w:val="18"/>
          <w:szCs w:val="18"/>
          <w:u w:val="single"/>
        </w:rPr>
        <w:t xml:space="preserve">Proton </w:t>
      </w:r>
      <w:r w:rsidR="00A27801">
        <w:rPr>
          <w:rFonts w:ascii="Arial" w:hAnsi="Arial" w:cs="Arial"/>
          <w:b/>
          <w:sz w:val="18"/>
          <w:szCs w:val="18"/>
          <w:u w:val="single"/>
        </w:rPr>
        <w:t>Pump Inhibitor (PPI) point-of-sale a</w:t>
      </w:r>
      <w:r w:rsidR="00A27801" w:rsidRPr="00CC67E3">
        <w:rPr>
          <w:rFonts w:ascii="Arial" w:hAnsi="Arial" w:cs="Arial"/>
          <w:b/>
          <w:sz w:val="18"/>
          <w:szCs w:val="18"/>
          <w:u w:val="single"/>
        </w:rPr>
        <w:t xml:space="preserve">pproval criteria for preferred agents </w:t>
      </w:r>
      <w:r w:rsidR="00A27801">
        <w:rPr>
          <w:rFonts w:ascii="Arial" w:hAnsi="Arial" w:cs="Arial"/>
          <w:b/>
          <w:sz w:val="18"/>
          <w:szCs w:val="18"/>
          <w:u w:val="single"/>
        </w:rPr>
        <w:t>have</w:t>
      </w:r>
      <w:r>
        <w:rPr>
          <w:rFonts w:ascii="Arial" w:hAnsi="Arial" w:cs="Arial"/>
          <w:b/>
          <w:sz w:val="18"/>
          <w:szCs w:val="18"/>
          <w:u w:val="single"/>
        </w:rPr>
        <w:t xml:space="preserve"> been changed:</w:t>
      </w:r>
    </w:p>
    <w:p w:rsidR="00805B0D" w:rsidRDefault="00805B0D" w:rsidP="00DD08A6">
      <w:pPr>
        <w:pStyle w:val="ListParagraph"/>
        <w:tabs>
          <w:tab w:val="left" w:pos="1095"/>
        </w:tabs>
        <w:ind w:left="1440"/>
        <w:rPr>
          <w:rFonts w:ascii="Arial" w:hAnsi="Arial" w:cs="Arial"/>
          <w:sz w:val="18"/>
          <w:szCs w:val="18"/>
        </w:rPr>
      </w:pPr>
      <w:r>
        <w:rPr>
          <w:rFonts w:ascii="Arial" w:hAnsi="Arial" w:cs="Arial"/>
          <w:sz w:val="18"/>
          <w:szCs w:val="18"/>
        </w:rPr>
        <w:t>Due to the very high cost of pancreatic enzymes, the PPI point of sale criteria has been revised and the requirement of 2 claims of a pancreatic enzyme in previous 75 days has been removed and replaced with the requirement</w:t>
      </w:r>
      <w:r w:rsidR="00C40BF7">
        <w:rPr>
          <w:rFonts w:ascii="Arial" w:hAnsi="Arial" w:cs="Arial"/>
          <w:sz w:val="18"/>
          <w:szCs w:val="18"/>
        </w:rPr>
        <w:t xml:space="preserve"> of billing</w:t>
      </w:r>
      <w:r>
        <w:rPr>
          <w:rFonts w:ascii="Arial" w:hAnsi="Arial" w:cs="Arial"/>
          <w:sz w:val="18"/>
          <w:szCs w:val="18"/>
        </w:rPr>
        <w:t xml:space="preserve"> </w:t>
      </w:r>
      <w:r w:rsidR="00C40BF7">
        <w:rPr>
          <w:rFonts w:ascii="Arial" w:hAnsi="Arial" w:cs="Arial"/>
          <w:sz w:val="18"/>
          <w:szCs w:val="18"/>
        </w:rPr>
        <w:t>for</w:t>
      </w:r>
      <w:r>
        <w:rPr>
          <w:rFonts w:ascii="Arial" w:hAnsi="Arial" w:cs="Arial"/>
          <w:sz w:val="18"/>
          <w:szCs w:val="18"/>
        </w:rPr>
        <w:t xml:space="preserve"> specific ICD-9 diagnosis codes for Cystic Fibrosis, pancreatic insufficiency, or unspecified disease of pancreas in </w:t>
      </w:r>
      <w:r w:rsidR="00C40BF7">
        <w:rPr>
          <w:rFonts w:ascii="Arial" w:hAnsi="Arial" w:cs="Arial"/>
          <w:sz w:val="18"/>
          <w:szCs w:val="18"/>
        </w:rPr>
        <w:t xml:space="preserve">the </w:t>
      </w:r>
      <w:r>
        <w:rPr>
          <w:rFonts w:ascii="Arial" w:hAnsi="Arial" w:cs="Arial"/>
          <w:sz w:val="18"/>
          <w:szCs w:val="18"/>
        </w:rPr>
        <w:t xml:space="preserve">previous 2 years </w:t>
      </w:r>
      <w:r w:rsidR="00C40BF7">
        <w:rPr>
          <w:rFonts w:ascii="Arial" w:hAnsi="Arial" w:cs="Arial"/>
          <w:sz w:val="18"/>
          <w:szCs w:val="18"/>
        </w:rPr>
        <w:t>of</w:t>
      </w:r>
      <w:r w:rsidR="00AE5B33">
        <w:rPr>
          <w:rFonts w:ascii="Arial" w:hAnsi="Arial" w:cs="Arial"/>
          <w:sz w:val="18"/>
          <w:szCs w:val="18"/>
        </w:rPr>
        <w:t xml:space="preserve"> Medicaid diagnosis history.</w:t>
      </w:r>
    </w:p>
    <w:p w:rsidR="00805B0D" w:rsidRDefault="00805B0D" w:rsidP="00805B0D">
      <w:pPr>
        <w:pStyle w:val="ListParagraph"/>
        <w:tabs>
          <w:tab w:val="left" w:pos="1095"/>
        </w:tabs>
        <w:ind w:left="1080"/>
        <w:rPr>
          <w:rFonts w:ascii="Arial" w:hAnsi="Arial" w:cs="Arial"/>
          <w:sz w:val="18"/>
          <w:szCs w:val="18"/>
        </w:rPr>
      </w:pPr>
    </w:p>
    <w:p w:rsidR="00805B0D" w:rsidRPr="00CC67E3" w:rsidRDefault="00805B0D" w:rsidP="005B4785">
      <w:pPr>
        <w:pStyle w:val="ListParagraph"/>
        <w:tabs>
          <w:tab w:val="left" w:pos="1095"/>
        </w:tabs>
        <w:ind w:left="1440"/>
        <w:rPr>
          <w:rFonts w:ascii="Arial" w:hAnsi="Arial" w:cs="Arial"/>
          <w:sz w:val="18"/>
          <w:szCs w:val="18"/>
        </w:rPr>
      </w:pPr>
      <w:r>
        <w:rPr>
          <w:rFonts w:ascii="Arial" w:hAnsi="Arial" w:cs="Arial"/>
          <w:sz w:val="18"/>
          <w:szCs w:val="18"/>
        </w:rPr>
        <w:t xml:space="preserve">Point-of-Sale </w:t>
      </w:r>
      <w:r w:rsidRPr="00CC67E3">
        <w:rPr>
          <w:rFonts w:ascii="Arial" w:hAnsi="Arial" w:cs="Arial"/>
          <w:sz w:val="18"/>
          <w:szCs w:val="18"/>
        </w:rPr>
        <w:t xml:space="preserve">Approval criteria for preferred </w:t>
      </w:r>
      <w:r>
        <w:rPr>
          <w:rFonts w:ascii="Arial" w:hAnsi="Arial" w:cs="Arial"/>
          <w:sz w:val="18"/>
          <w:szCs w:val="18"/>
        </w:rPr>
        <w:t xml:space="preserve">PPI </w:t>
      </w:r>
      <w:r w:rsidRPr="00CC67E3">
        <w:rPr>
          <w:rFonts w:ascii="Arial" w:hAnsi="Arial" w:cs="Arial"/>
          <w:sz w:val="18"/>
          <w:szCs w:val="18"/>
        </w:rPr>
        <w:t>agents with criteria</w:t>
      </w:r>
      <w:r w:rsidR="005B4785">
        <w:rPr>
          <w:rFonts w:ascii="Arial" w:hAnsi="Arial" w:cs="Arial"/>
          <w:sz w:val="18"/>
          <w:szCs w:val="18"/>
        </w:rPr>
        <w:t xml:space="preserve"> revised as follows:</w:t>
      </w:r>
    </w:p>
    <w:p w:rsidR="00805B0D" w:rsidRPr="00CC67E3" w:rsidRDefault="00805B0D" w:rsidP="00787D43">
      <w:pPr>
        <w:pStyle w:val="ListParagraph"/>
        <w:numPr>
          <w:ilvl w:val="0"/>
          <w:numId w:val="19"/>
        </w:numPr>
        <w:tabs>
          <w:tab w:val="left" w:pos="1095"/>
        </w:tabs>
        <w:rPr>
          <w:rFonts w:ascii="Arial" w:hAnsi="Arial" w:cs="Arial"/>
          <w:sz w:val="18"/>
          <w:szCs w:val="18"/>
        </w:rPr>
      </w:pPr>
      <w:r w:rsidRPr="00CC67E3">
        <w:rPr>
          <w:rFonts w:ascii="Arial" w:hAnsi="Arial" w:cs="Arial"/>
          <w:sz w:val="18"/>
          <w:szCs w:val="18"/>
        </w:rPr>
        <w:t>Approve up to 93 days of proton pump inhibitor therapy per year for all re</w:t>
      </w:r>
      <w:r w:rsidR="00AE5B33">
        <w:rPr>
          <w:rFonts w:ascii="Arial" w:hAnsi="Arial" w:cs="Arial"/>
          <w:sz w:val="18"/>
          <w:szCs w:val="18"/>
        </w:rPr>
        <w:t>cipients age 15 months or older</w:t>
      </w:r>
    </w:p>
    <w:p w:rsidR="00805B0D" w:rsidRDefault="00805B0D" w:rsidP="00787D43">
      <w:pPr>
        <w:pStyle w:val="ListParagraph"/>
        <w:numPr>
          <w:ilvl w:val="0"/>
          <w:numId w:val="19"/>
        </w:numPr>
        <w:tabs>
          <w:tab w:val="left" w:pos="1095"/>
        </w:tabs>
        <w:rPr>
          <w:rFonts w:ascii="Arial" w:hAnsi="Arial" w:cs="Arial"/>
          <w:sz w:val="18"/>
          <w:szCs w:val="18"/>
        </w:rPr>
      </w:pPr>
      <w:r w:rsidRPr="00CC67E3">
        <w:rPr>
          <w:rFonts w:ascii="Arial" w:hAnsi="Arial" w:cs="Arial"/>
          <w:sz w:val="18"/>
          <w:szCs w:val="18"/>
        </w:rPr>
        <w:t>Approve treatment beyond 93 days for recipients 15 months or older who have a diagnosis in history for Zollinger-Ellison Syndrome, Barrett’s esophagus, or an endoscopy (Appendix I) in the past 24 months, or diagnosis of CF, or diagnosis of pancreatic insufficiency</w:t>
      </w:r>
      <w:r w:rsidR="005B4785">
        <w:rPr>
          <w:rFonts w:ascii="Arial" w:hAnsi="Arial" w:cs="Arial"/>
          <w:sz w:val="18"/>
          <w:szCs w:val="18"/>
        </w:rPr>
        <w:t>,</w:t>
      </w:r>
      <w:r w:rsidRPr="00CC67E3">
        <w:rPr>
          <w:rFonts w:ascii="Arial" w:hAnsi="Arial" w:cs="Arial"/>
          <w:sz w:val="18"/>
          <w:szCs w:val="18"/>
        </w:rPr>
        <w:t xml:space="preserve"> or</w:t>
      </w:r>
      <w:r w:rsidR="005B4785">
        <w:rPr>
          <w:rFonts w:ascii="Arial" w:hAnsi="Arial" w:cs="Arial"/>
          <w:sz w:val="18"/>
          <w:szCs w:val="18"/>
        </w:rPr>
        <w:t xml:space="preserve"> diagnosis of </w:t>
      </w:r>
      <w:r w:rsidRPr="00CC67E3">
        <w:rPr>
          <w:rFonts w:ascii="Arial" w:hAnsi="Arial" w:cs="Arial"/>
          <w:sz w:val="18"/>
          <w:szCs w:val="18"/>
        </w:rPr>
        <w:t xml:space="preserve"> unspecified disease of pancreas in previous 2 years</w:t>
      </w:r>
      <w:r w:rsidR="009408F8">
        <w:rPr>
          <w:rFonts w:ascii="Arial" w:hAnsi="Arial" w:cs="Arial"/>
          <w:sz w:val="18"/>
          <w:szCs w:val="18"/>
        </w:rPr>
        <w:t xml:space="preserve"> of Medicaid diagnosis history</w:t>
      </w:r>
      <w:r w:rsidRPr="00CC67E3">
        <w:rPr>
          <w:rFonts w:ascii="Arial" w:hAnsi="Arial" w:cs="Arial"/>
          <w:sz w:val="18"/>
          <w:szCs w:val="18"/>
        </w:rPr>
        <w:t>.</w:t>
      </w:r>
    </w:p>
    <w:p w:rsidR="00805B0D" w:rsidRDefault="00805B0D" w:rsidP="00805B0D">
      <w:pPr>
        <w:pStyle w:val="ListParagraph"/>
        <w:tabs>
          <w:tab w:val="left" w:pos="1095"/>
        </w:tabs>
        <w:ind w:left="1800"/>
        <w:rPr>
          <w:rFonts w:ascii="Arial" w:hAnsi="Arial" w:cs="Arial"/>
          <w:sz w:val="18"/>
          <w:szCs w:val="18"/>
        </w:rPr>
      </w:pPr>
    </w:p>
    <w:p w:rsidR="00805B0D" w:rsidRPr="00CC67E3" w:rsidRDefault="00805B0D" w:rsidP="005B4785">
      <w:pPr>
        <w:ind w:left="1080"/>
        <w:rPr>
          <w:rFonts w:ascii="Arial" w:hAnsi="Arial" w:cs="Arial"/>
          <w:bCs/>
          <w:sz w:val="18"/>
          <w:szCs w:val="18"/>
        </w:rPr>
      </w:pPr>
      <w:r w:rsidRPr="00CC67E3">
        <w:rPr>
          <w:rFonts w:ascii="Arial" w:hAnsi="Arial" w:cs="Arial"/>
          <w:b/>
          <w:i/>
          <w:sz w:val="18"/>
          <w:szCs w:val="18"/>
        </w:rPr>
        <w:t>All calls regarding prior authorization or for a copy of the form should be directed to the EBRx PA Call Center Toll Free 1-866-250-2518 or Local 501-526-4200, or</w:t>
      </w:r>
      <w:r w:rsidRPr="00CC67E3">
        <w:rPr>
          <w:rFonts w:ascii="Arial" w:hAnsi="Arial" w:cs="Arial"/>
          <w:sz w:val="18"/>
          <w:szCs w:val="18"/>
        </w:rPr>
        <w:t xml:space="preserve"> </w:t>
      </w:r>
      <w:r w:rsidRPr="00CC67E3">
        <w:rPr>
          <w:rFonts w:ascii="Arial" w:hAnsi="Arial" w:cs="Arial"/>
          <w:b/>
          <w:bCs/>
          <w:i/>
          <w:sz w:val="18"/>
          <w:szCs w:val="18"/>
        </w:rPr>
        <w:t>Fax 501-526-4188</w:t>
      </w:r>
      <w:r w:rsidR="00AE5B33">
        <w:rPr>
          <w:rFonts w:ascii="Arial" w:hAnsi="Arial" w:cs="Arial"/>
          <w:bCs/>
          <w:sz w:val="18"/>
          <w:szCs w:val="18"/>
        </w:rPr>
        <w:t>.</w:t>
      </w:r>
    </w:p>
    <w:p w:rsidR="00805B0D" w:rsidRDefault="00805B0D" w:rsidP="007153D2">
      <w:pPr>
        <w:pStyle w:val="ListParagraph"/>
        <w:tabs>
          <w:tab w:val="left" w:pos="1095"/>
        </w:tabs>
        <w:ind w:left="1080"/>
        <w:rPr>
          <w:rFonts w:ascii="Arial" w:hAnsi="Arial" w:cs="Arial"/>
          <w:b/>
          <w:sz w:val="18"/>
          <w:szCs w:val="18"/>
        </w:rPr>
      </w:pPr>
    </w:p>
    <w:p w:rsidR="00DE75B6" w:rsidRDefault="00EC4993" w:rsidP="00805B0D">
      <w:pPr>
        <w:pStyle w:val="ListParagraph"/>
        <w:numPr>
          <w:ilvl w:val="1"/>
          <w:numId w:val="6"/>
        </w:numPr>
        <w:rPr>
          <w:rFonts w:ascii="Arial" w:hAnsi="Arial" w:cs="Arial"/>
          <w:bCs/>
          <w:sz w:val="18"/>
          <w:szCs w:val="18"/>
        </w:rPr>
      </w:pPr>
      <w:r w:rsidRPr="00553694">
        <w:rPr>
          <w:rFonts w:ascii="Arial" w:hAnsi="Arial" w:cs="Arial"/>
          <w:b/>
          <w:sz w:val="18"/>
          <w:szCs w:val="18"/>
          <w:u w:val="single"/>
        </w:rPr>
        <w:t>Noxafil</w:t>
      </w:r>
      <w:r w:rsidR="00741478" w:rsidRPr="00553694">
        <w:rPr>
          <w:rFonts w:ascii="Arial" w:hAnsi="Arial" w:cs="Arial"/>
          <w:b/>
          <w:sz w:val="18"/>
          <w:szCs w:val="18"/>
          <w:u w:val="single"/>
        </w:rPr>
        <w:t>®</w:t>
      </w:r>
      <w:r w:rsidRPr="00553694">
        <w:rPr>
          <w:rFonts w:ascii="Arial" w:hAnsi="Arial" w:cs="Arial"/>
          <w:b/>
          <w:sz w:val="18"/>
          <w:szCs w:val="18"/>
          <w:u w:val="single"/>
        </w:rPr>
        <w:t xml:space="preserve"> </w:t>
      </w:r>
      <w:r w:rsidR="00741478" w:rsidRPr="00553694">
        <w:rPr>
          <w:rFonts w:ascii="Arial" w:hAnsi="Arial" w:cs="Arial"/>
          <w:b/>
          <w:sz w:val="18"/>
          <w:szCs w:val="18"/>
          <w:u w:val="single"/>
        </w:rPr>
        <w:t>(posaconazole)</w:t>
      </w:r>
      <w:r w:rsidR="00547FCD" w:rsidRPr="00553694">
        <w:rPr>
          <w:rFonts w:ascii="Arial" w:hAnsi="Arial" w:cs="Arial"/>
          <w:b/>
          <w:sz w:val="18"/>
          <w:szCs w:val="18"/>
          <w:u w:val="single"/>
        </w:rPr>
        <w:t xml:space="preserve"> 40 mg/ml</w:t>
      </w:r>
      <w:r w:rsidR="00741478" w:rsidRPr="00553694">
        <w:rPr>
          <w:rFonts w:ascii="Arial" w:hAnsi="Arial" w:cs="Arial"/>
          <w:b/>
          <w:sz w:val="18"/>
          <w:szCs w:val="18"/>
          <w:u w:val="single"/>
        </w:rPr>
        <w:t xml:space="preserve"> </w:t>
      </w:r>
      <w:r w:rsidR="00AE5B33">
        <w:rPr>
          <w:rFonts w:ascii="Arial" w:hAnsi="Arial" w:cs="Arial"/>
          <w:b/>
          <w:sz w:val="18"/>
          <w:szCs w:val="18"/>
          <w:u w:val="single"/>
        </w:rPr>
        <w:t>oral suspension:</w:t>
      </w:r>
      <w:r w:rsidR="00AE5B33">
        <w:rPr>
          <w:rFonts w:ascii="Arial" w:hAnsi="Arial" w:cs="Arial"/>
          <w:b/>
          <w:sz w:val="18"/>
          <w:szCs w:val="18"/>
        </w:rPr>
        <w:t xml:space="preserve"> </w:t>
      </w:r>
      <w:r w:rsidR="00741478" w:rsidRPr="00553694">
        <w:rPr>
          <w:rFonts w:ascii="Arial" w:hAnsi="Arial" w:cs="Arial"/>
          <w:bCs/>
          <w:sz w:val="18"/>
          <w:szCs w:val="18"/>
        </w:rPr>
        <w:t xml:space="preserve">Noxafil® oral suspension </w:t>
      </w:r>
      <w:r w:rsidR="00805B0D">
        <w:rPr>
          <w:rFonts w:ascii="Arial" w:hAnsi="Arial" w:cs="Arial"/>
          <w:bCs/>
          <w:sz w:val="18"/>
          <w:szCs w:val="18"/>
        </w:rPr>
        <w:t xml:space="preserve">is </w:t>
      </w:r>
      <w:r w:rsidR="00741478" w:rsidRPr="00553694">
        <w:rPr>
          <w:rFonts w:ascii="Arial" w:hAnsi="Arial" w:cs="Arial"/>
          <w:bCs/>
          <w:sz w:val="18"/>
          <w:szCs w:val="18"/>
        </w:rPr>
        <w:t>indicated for prophylaxis of invasive Aspergillus and Candida infections in patients who are at high risk of developing these infections due to being severely immunocompromised, such as hematopoietic stem cell transplant (HSCT) recipients with graft-versus-host disease (GVHD) or those with hematologic malignancies with prolonged</w:t>
      </w:r>
      <w:r w:rsidR="00A76BCD">
        <w:rPr>
          <w:rFonts w:ascii="Arial" w:hAnsi="Arial" w:cs="Arial"/>
          <w:bCs/>
          <w:sz w:val="18"/>
          <w:szCs w:val="18"/>
        </w:rPr>
        <w:t xml:space="preserve"> neutropenia from chemotherapy.</w:t>
      </w:r>
      <w:r w:rsidR="00741478" w:rsidRPr="00553694">
        <w:rPr>
          <w:rFonts w:ascii="Arial" w:hAnsi="Arial" w:cs="Arial"/>
          <w:bCs/>
          <w:sz w:val="18"/>
          <w:szCs w:val="18"/>
        </w:rPr>
        <w:t xml:space="preserve"> </w:t>
      </w:r>
      <w:r w:rsidR="00553694" w:rsidRPr="00553694">
        <w:rPr>
          <w:rFonts w:ascii="Arial" w:hAnsi="Arial" w:cs="Arial"/>
          <w:bCs/>
          <w:sz w:val="18"/>
          <w:szCs w:val="18"/>
        </w:rPr>
        <w:t xml:space="preserve">Noxafil® </w:t>
      </w:r>
      <w:r w:rsidR="00741478" w:rsidRPr="00553694">
        <w:rPr>
          <w:rFonts w:ascii="Arial" w:hAnsi="Arial" w:cs="Arial"/>
          <w:bCs/>
          <w:sz w:val="18"/>
          <w:szCs w:val="18"/>
        </w:rPr>
        <w:t xml:space="preserve">oral suspension </w:t>
      </w:r>
      <w:r w:rsidR="00805B0D">
        <w:rPr>
          <w:rFonts w:ascii="Arial" w:hAnsi="Arial" w:cs="Arial"/>
          <w:bCs/>
          <w:sz w:val="18"/>
          <w:szCs w:val="18"/>
        </w:rPr>
        <w:t>is</w:t>
      </w:r>
      <w:r w:rsidR="00741478" w:rsidRPr="00553694">
        <w:rPr>
          <w:rFonts w:ascii="Arial" w:hAnsi="Arial" w:cs="Arial"/>
          <w:bCs/>
          <w:sz w:val="18"/>
          <w:szCs w:val="18"/>
        </w:rPr>
        <w:t xml:space="preserve"> indicated in patients 13 years of age and older.</w:t>
      </w:r>
      <w:r w:rsidR="00805B0D">
        <w:rPr>
          <w:rFonts w:ascii="Arial" w:hAnsi="Arial" w:cs="Arial"/>
          <w:bCs/>
          <w:sz w:val="18"/>
          <w:szCs w:val="18"/>
        </w:rPr>
        <w:t xml:space="preserve"> </w:t>
      </w:r>
      <w:r w:rsidR="00805B0D" w:rsidRPr="00805B0D">
        <w:rPr>
          <w:rFonts w:ascii="Arial" w:hAnsi="Arial" w:cs="Arial"/>
          <w:bCs/>
          <w:sz w:val="18"/>
          <w:szCs w:val="18"/>
        </w:rPr>
        <w:t xml:space="preserve">Noxafil oral suspension is </w:t>
      </w:r>
      <w:r w:rsidR="00805B0D">
        <w:rPr>
          <w:rFonts w:ascii="Arial" w:hAnsi="Arial" w:cs="Arial"/>
          <w:bCs/>
          <w:sz w:val="18"/>
          <w:szCs w:val="18"/>
        </w:rPr>
        <w:t xml:space="preserve">also </w:t>
      </w:r>
      <w:r w:rsidR="00805B0D" w:rsidRPr="00805B0D">
        <w:rPr>
          <w:rFonts w:ascii="Arial" w:hAnsi="Arial" w:cs="Arial"/>
          <w:bCs/>
          <w:sz w:val="18"/>
          <w:szCs w:val="18"/>
        </w:rPr>
        <w:t>indicated for the treatment of oropharyngeal candidiasis, including oropharyngeal candidiasis refractory to itraconazole and/or fluconazole.</w:t>
      </w:r>
    </w:p>
    <w:p w:rsidR="00DE75B6" w:rsidRDefault="00DE75B6">
      <w:pPr>
        <w:spacing w:after="200" w:line="276" w:lineRule="auto"/>
        <w:rPr>
          <w:rFonts w:ascii="Arial" w:hAnsi="Arial" w:cs="Arial"/>
          <w:bCs/>
          <w:sz w:val="18"/>
          <w:szCs w:val="18"/>
        </w:rPr>
      </w:pPr>
      <w:r>
        <w:rPr>
          <w:rFonts w:ascii="Arial" w:hAnsi="Arial" w:cs="Arial"/>
          <w:bCs/>
          <w:sz w:val="18"/>
          <w:szCs w:val="18"/>
        </w:rPr>
        <w:br w:type="page"/>
      </w:r>
    </w:p>
    <w:tbl>
      <w:tblPr>
        <w:tblW w:w="4319" w:type="pct"/>
        <w:tblInd w:w="1163"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top w:w="15" w:type="dxa"/>
          <w:left w:w="15" w:type="dxa"/>
          <w:bottom w:w="15" w:type="dxa"/>
          <w:right w:w="15" w:type="dxa"/>
        </w:tblCellMar>
        <w:tblLook w:val="04A0"/>
      </w:tblPr>
      <w:tblGrid>
        <w:gridCol w:w="2968"/>
        <w:gridCol w:w="5169"/>
      </w:tblGrid>
      <w:tr w:rsidR="007153D2" w:rsidRPr="007153D2" w:rsidTr="00553694">
        <w:trPr>
          <w:tblHeader/>
        </w:trPr>
        <w:tc>
          <w:tcPr>
            <w:tcW w:w="5000" w:type="pct"/>
            <w:gridSpan w:val="2"/>
            <w:hideMark/>
          </w:tcPr>
          <w:p w:rsidR="007153D2" w:rsidRPr="005859DA" w:rsidRDefault="007153D2" w:rsidP="005B12BA">
            <w:pPr>
              <w:pStyle w:val="ListParagraph"/>
              <w:ind w:left="0"/>
              <w:jc w:val="center"/>
              <w:rPr>
                <w:rFonts w:ascii="Arial" w:hAnsi="Arial" w:cs="Arial"/>
                <w:b/>
                <w:bCs/>
                <w:sz w:val="16"/>
                <w:szCs w:val="16"/>
              </w:rPr>
            </w:pPr>
            <w:r w:rsidRPr="005859DA">
              <w:rPr>
                <w:rFonts w:ascii="Arial" w:hAnsi="Arial" w:cs="Arial" w:hint="eastAsia"/>
                <w:b/>
                <w:bCs/>
                <w:sz w:val="16"/>
                <w:szCs w:val="16"/>
              </w:rPr>
              <w:t>Dosing for Noxafil</w:t>
            </w:r>
            <w:r w:rsidR="009408F8">
              <w:rPr>
                <w:rFonts w:ascii="Arial" w:hAnsi="Arial" w:cs="Arial"/>
                <w:b/>
                <w:bCs/>
                <w:sz w:val="16"/>
                <w:szCs w:val="16"/>
              </w:rPr>
              <w:t>®</w:t>
            </w:r>
            <w:r w:rsidRPr="005859DA">
              <w:rPr>
                <w:rFonts w:ascii="Arial" w:hAnsi="Arial" w:cs="Arial" w:hint="eastAsia"/>
                <w:b/>
                <w:bCs/>
                <w:sz w:val="16"/>
                <w:szCs w:val="16"/>
              </w:rPr>
              <w:t xml:space="preserve"> Oral Suspension</w:t>
            </w:r>
          </w:p>
        </w:tc>
      </w:tr>
      <w:tr w:rsidR="007153D2" w:rsidRPr="007153D2" w:rsidTr="00553694">
        <w:trPr>
          <w:tblHeader/>
        </w:trPr>
        <w:tc>
          <w:tcPr>
            <w:tcW w:w="0" w:type="auto"/>
            <w:vAlign w:val="center"/>
            <w:hideMark/>
          </w:tcPr>
          <w:p w:rsidR="007153D2" w:rsidRPr="005859DA" w:rsidRDefault="007153D2" w:rsidP="007153D2">
            <w:pPr>
              <w:pStyle w:val="ListParagraph"/>
              <w:ind w:left="1080"/>
              <w:rPr>
                <w:rFonts w:ascii="Arial" w:hAnsi="Arial" w:cs="Arial"/>
                <w:b/>
                <w:bCs/>
                <w:sz w:val="16"/>
                <w:szCs w:val="16"/>
              </w:rPr>
            </w:pPr>
            <w:r w:rsidRPr="005859DA">
              <w:rPr>
                <w:rFonts w:ascii="Arial" w:hAnsi="Arial" w:cs="Arial" w:hint="eastAsia"/>
                <w:b/>
                <w:bCs/>
                <w:sz w:val="16"/>
                <w:szCs w:val="16"/>
              </w:rPr>
              <w:t>Indication</w:t>
            </w:r>
          </w:p>
        </w:tc>
        <w:tc>
          <w:tcPr>
            <w:tcW w:w="3176" w:type="pct"/>
            <w:hideMark/>
          </w:tcPr>
          <w:p w:rsidR="007153D2" w:rsidRPr="005859DA" w:rsidRDefault="007153D2" w:rsidP="00553694">
            <w:pPr>
              <w:pStyle w:val="ListParagraph"/>
              <w:ind w:left="1080"/>
              <w:jc w:val="center"/>
              <w:rPr>
                <w:rFonts w:ascii="Arial" w:hAnsi="Arial" w:cs="Arial"/>
                <w:b/>
                <w:bCs/>
                <w:sz w:val="16"/>
                <w:szCs w:val="16"/>
              </w:rPr>
            </w:pPr>
            <w:r w:rsidRPr="005859DA">
              <w:rPr>
                <w:rFonts w:ascii="Arial" w:hAnsi="Arial" w:cs="Arial" w:hint="eastAsia"/>
                <w:b/>
                <w:bCs/>
                <w:sz w:val="16"/>
                <w:szCs w:val="16"/>
              </w:rPr>
              <w:t>Dose and Duration of Therapy</w:t>
            </w:r>
          </w:p>
        </w:tc>
      </w:tr>
      <w:tr w:rsidR="007153D2" w:rsidRPr="007153D2" w:rsidTr="00553694">
        <w:tc>
          <w:tcPr>
            <w:tcW w:w="0" w:type="auto"/>
            <w:tcBorders>
              <w:bottom w:val="single" w:sz="6" w:space="0" w:color="auto"/>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rPr>
              <w:t xml:space="preserve">Prophylaxis of invasive </w:t>
            </w:r>
            <w:r w:rsidRPr="005859DA">
              <w:rPr>
                <w:rFonts w:ascii="Arial" w:hAnsi="Arial" w:cs="Arial" w:hint="eastAsia"/>
                <w:bCs/>
                <w:i/>
                <w:iCs/>
                <w:sz w:val="16"/>
                <w:szCs w:val="16"/>
              </w:rPr>
              <w:t>Aspergillus</w:t>
            </w:r>
            <w:r w:rsidRPr="005859DA">
              <w:rPr>
                <w:rFonts w:ascii="Arial" w:hAnsi="Arial" w:cs="Arial" w:hint="eastAsia"/>
                <w:bCs/>
                <w:sz w:val="16"/>
                <w:szCs w:val="16"/>
              </w:rPr>
              <w:t xml:space="preserve"> and </w:t>
            </w:r>
            <w:r w:rsidRPr="005859DA">
              <w:rPr>
                <w:rFonts w:ascii="Arial" w:hAnsi="Arial" w:cs="Arial" w:hint="eastAsia"/>
                <w:bCs/>
                <w:i/>
                <w:iCs/>
                <w:sz w:val="16"/>
                <w:szCs w:val="16"/>
              </w:rPr>
              <w:t xml:space="preserve">Candida </w:t>
            </w:r>
            <w:r w:rsidRPr="005859DA">
              <w:rPr>
                <w:rFonts w:ascii="Arial" w:hAnsi="Arial" w:cs="Arial" w:hint="eastAsia"/>
                <w:bCs/>
                <w:sz w:val="16"/>
                <w:szCs w:val="16"/>
              </w:rPr>
              <w:t>infections</w:t>
            </w:r>
          </w:p>
        </w:tc>
        <w:tc>
          <w:tcPr>
            <w:tcW w:w="3176" w:type="pct"/>
            <w:tcBorders>
              <w:bottom w:val="single" w:sz="6" w:space="0" w:color="auto"/>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rPr>
              <w:t>200 mg (5 mL) three times a day. The duration of therapy is based on recovery from neutropenia or immunosuppression.</w:t>
            </w:r>
          </w:p>
        </w:tc>
      </w:tr>
      <w:tr w:rsidR="007153D2" w:rsidRPr="007153D2" w:rsidTr="00553694">
        <w:tc>
          <w:tcPr>
            <w:tcW w:w="0" w:type="auto"/>
            <w:tcBorders>
              <w:top w:val="single" w:sz="6" w:space="0" w:color="auto"/>
              <w:bottom w:val="nil"/>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rPr>
              <w:t>Oropharyngeal Candidiasis</w:t>
            </w:r>
          </w:p>
        </w:tc>
        <w:tc>
          <w:tcPr>
            <w:tcW w:w="3176" w:type="pct"/>
            <w:tcBorders>
              <w:top w:val="single" w:sz="6" w:space="0" w:color="auto"/>
              <w:bottom w:val="nil"/>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u w:val="single"/>
              </w:rPr>
              <w:t>Loading dose</w:t>
            </w:r>
            <w:r w:rsidRPr="005859DA">
              <w:rPr>
                <w:rFonts w:ascii="Arial" w:hAnsi="Arial" w:cs="Arial" w:hint="eastAsia"/>
                <w:bCs/>
                <w:sz w:val="16"/>
                <w:szCs w:val="16"/>
              </w:rPr>
              <w:t>: 100 mg (2.5 mL) twice a day on the first day.</w:t>
            </w:r>
          </w:p>
        </w:tc>
      </w:tr>
      <w:tr w:rsidR="007153D2" w:rsidRPr="007153D2" w:rsidTr="00553694">
        <w:trPr>
          <w:trHeight w:val="51"/>
        </w:trPr>
        <w:tc>
          <w:tcPr>
            <w:tcW w:w="0" w:type="auto"/>
            <w:tcBorders>
              <w:top w:val="nil"/>
              <w:bottom w:val="single" w:sz="6" w:space="0" w:color="auto"/>
            </w:tcBorders>
            <w:hideMark/>
          </w:tcPr>
          <w:p w:rsidR="007153D2" w:rsidRPr="00AE5B33" w:rsidRDefault="007153D2" w:rsidP="00AE5B33">
            <w:pPr>
              <w:rPr>
                <w:rFonts w:ascii="Arial" w:hAnsi="Arial" w:cs="Arial"/>
                <w:bCs/>
                <w:sz w:val="16"/>
                <w:szCs w:val="16"/>
              </w:rPr>
            </w:pPr>
          </w:p>
        </w:tc>
        <w:tc>
          <w:tcPr>
            <w:tcW w:w="3176" w:type="pct"/>
            <w:tcBorders>
              <w:top w:val="nil"/>
              <w:bottom w:val="single" w:sz="6" w:space="0" w:color="auto"/>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u w:val="single"/>
              </w:rPr>
              <w:t>Maintenance dose</w:t>
            </w:r>
            <w:r w:rsidRPr="005859DA">
              <w:rPr>
                <w:rFonts w:ascii="Arial" w:hAnsi="Arial" w:cs="Arial" w:hint="eastAsia"/>
                <w:bCs/>
                <w:sz w:val="16"/>
                <w:szCs w:val="16"/>
              </w:rPr>
              <w:t>: 100 mg (2.5 mL) once a day for 13 days.</w:t>
            </w:r>
          </w:p>
        </w:tc>
      </w:tr>
      <w:tr w:rsidR="007153D2" w:rsidRPr="007153D2" w:rsidTr="005859DA">
        <w:trPr>
          <w:trHeight w:val="321"/>
        </w:trPr>
        <w:tc>
          <w:tcPr>
            <w:tcW w:w="0" w:type="auto"/>
            <w:tcBorders>
              <w:top w:val="single" w:sz="6" w:space="0" w:color="auto"/>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rPr>
              <w:t>Oropharyngeal Candidiasis Refractory to Itraconazole and/or Fluconazole</w:t>
            </w:r>
          </w:p>
        </w:tc>
        <w:tc>
          <w:tcPr>
            <w:tcW w:w="3176" w:type="pct"/>
            <w:tcBorders>
              <w:top w:val="single" w:sz="6" w:space="0" w:color="auto"/>
            </w:tcBorders>
            <w:hideMark/>
          </w:tcPr>
          <w:p w:rsidR="007153D2" w:rsidRPr="005859DA" w:rsidRDefault="007153D2" w:rsidP="00553694">
            <w:pPr>
              <w:rPr>
                <w:rFonts w:ascii="Arial" w:hAnsi="Arial" w:cs="Arial"/>
                <w:bCs/>
                <w:sz w:val="16"/>
                <w:szCs w:val="16"/>
              </w:rPr>
            </w:pPr>
            <w:r w:rsidRPr="005859DA">
              <w:rPr>
                <w:rFonts w:ascii="Arial" w:hAnsi="Arial" w:cs="Arial" w:hint="eastAsia"/>
                <w:bCs/>
                <w:sz w:val="16"/>
                <w:szCs w:val="16"/>
              </w:rPr>
              <w:t>400 mg (10 mL) twice a day. Duration of therapy should be based on the severity of the patient's underlying disease and clinical response.</w:t>
            </w:r>
          </w:p>
        </w:tc>
      </w:tr>
    </w:tbl>
    <w:p w:rsidR="005859DA" w:rsidRDefault="005859DA" w:rsidP="00547FCD">
      <w:pPr>
        <w:pStyle w:val="ListParagraph"/>
        <w:ind w:left="1080"/>
        <w:rPr>
          <w:rFonts w:ascii="Arial" w:hAnsi="Arial" w:cs="Arial"/>
          <w:bCs/>
          <w:sz w:val="18"/>
          <w:szCs w:val="18"/>
        </w:rPr>
      </w:pPr>
    </w:p>
    <w:p w:rsidR="00B57AF1" w:rsidRDefault="00B57AF1" w:rsidP="00805B0D">
      <w:pPr>
        <w:pStyle w:val="ListParagraph"/>
        <w:ind w:left="1440"/>
        <w:rPr>
          <w:rFonts w:ascii="Arial" w:hAnsi="Arial" w:cs="Arial"/>
          <w:bCs/>
          <w:sz w:val="18"/>
          <w:szCs w:val="18"/>
        </w:rPr>
      </w:pPr>
      <w:r>
        <w:rPr>
          <w:rFonts w:ascii="Arial" w:hAnsi="Arial" w:cs="Arial"/>
          <w:bCs/>
          <w:sz w:val="18"/>
          <w:szCs w:val="18"/>
        </w:rPr>
        <w:t>The reimbursement rate for Noxafil</w:t>
      </w:r>
      <w:r w:rsidR="009408F8">
        <w:rPr>
          <w:rFonts w:ascii="Arial" w:hAnsi="Arial" w:cs="Arial"/>
          <w:bCs/>
          <w:sz w:val="18"/>
          <w:szCs w:val="18"/>
        </w:rPr>
        <w:t>®</w:t>
      </w:r>
      <w:r>
        <w:rPr>
          <w:rFonts w:ascii="Arial" w:hAnsi="Arial" w:cs="Arial"/>
          <w:bCs/>
          <w:sz w:val="18"/>
          <w:szCs w:val="18"/>
        </w:rPr>
        <w:t xml:space="preserve"> Oral Suspension</w:t>
      </w:r>
      <w:r w:rsidR="00553694">
        <w:rPr>
          <w:rFonts w:ascii="Arial" w:hAnsi="Arial" w:cs="Arial"/>
          <w:bCs/>
          <w:sz w:val="18"/>
          <w:szCs w:val="18"/>
        </w:rPr>
        <w:t xml:space="preserve"> is $1,058.25 per 105 ml bottle.</w:t>
      </w:r>
    </w:p>
    <w:p w:rsidR="00B57AF1" w:rsidRPr="00741478" w:rsidRDefault="00B57AF1" w:rsidP="00805B0D">
      <w:pPr>
        <w:pStyle w:val="ListParagraph"/>
        <w:ind w:left="1800"/>
        <w:rPr>
          <w:rFonts w:ascii="Arial" w:hAnsi="Arial" w:cs="Arial"/>
          <w:bCs/>
          <w:sz w:val="18"/>
          <w:szCs w:val="18"/>
        </w:rPr>
      </w:pPr>
    </w:p>
    <w:p w:rsidR="00741478" w:rsidRPr="00741478" w:rsidRDefault="00B57AF1" w:rsidP="00805B0D">
      <w:pPr>
        <w:pStyle w:val="ListParagraph"/>
        <w:ind w:left="1440"/>
        <w:rPr>
          <w:rFonts w:ascii="Arial" w:hAnsi="Arial" w:cs="Arial"/>
          <w:bCs/>
          <w:sz w:val="18"/>
          <w:szCs w:val="18"/>
        </w:rPr>
      </w:pPr>
      <w:r>
        <w:rPr>
          <w:rFonts w:ascii="Arial" w:hAnsi="Arial" w:cs="Arial"/>
          <w:bCs/>
          <w:sz w:val="18"/>
          <w:szCs w:val="18"/>
        </w:rPr>
        <w:t xml:space="preserve">The point-of-sale </w:t>
      </w:r>
      <w:r w:rsidR="00547FCD">
        <w:rPr>
          <w:rFonts w:ascii="Arial" w:hAnsi="Arial" w:cs="Arial"/>
          <w:bCs/>
          <w:sz w:val="18"/>
          <w:szCs w:val="18"/>
        </w:rPr>
        <w:t xml:space="preserve">approval </w:t>
      </w:r>
      <w:r>
        <w:rPr>
          <w:rFonts w:ascii="Arial" w:hAnsi="Arial" w:cs="Arial"/>
          <w:bCs/>
          <w:sz w:val="18"/>
          <w:szCs w:val="18"/>
        </w:rPr>
        <w:t>criteria for Noxafil</w:t>
      </w:r>
      <w:r w:rsidR="009408F8">
        <w:rPr>
          <w:rFonts w:ascii="Arial" w:hAnsi="Arial" w:cs="Arial"/>
          <w:bCs/>
          <w:sz w:val="18"/>
          <w:szCs w:val="18"/>
        </w:rPr>
        <w:t>®</w:t>
      </w:r>
      <w:r>
        <w:rPr>
          <w:rFonts w:ascii="Arial" w:hAnsi="Arial" w:cs="Arial"/>
          <w:bCs/>
          <w:sz w:val="18"/>
          <w:szCs w:val="18"/>
        </w:rPr>
        <w:t xml:space="preserve"> Oral Suspension for </w:t>
      </w:r>
      <w:r w:rsidR="00741478">
        <w:rPr>
          <w:rFonts w:ascii="Arial" w:hAnsi="Arial" w:cs="Arial"/>
          <w:bCs/>
          <w:sz w:val="18"/>
          <w:szCs w:val="18"/>
        </w:rPr>
        <w:t>Criterion #3</w:t>
      </w:r>
      <w:r w:rsidR="004A5FC7">
        <w:rPr>
          <w:rFonts w:ascii="Arial" w:hAnsi="Arial" w:cs="Arial"/>
          <w:bCs/>
          <w:sz w:val="18"/>
          <w:szCs w:val="18"/>
        </w:rPr>
        <w:t>, which is</w:t>
      </w:r>
      <w:r w:rsidR="00741478">
        <w:rPr>
          <w:rFonts w:ascii="Arial" w:hAnsi="Arial" w:cs="Arial"/>
          <w:bCs/>
          <w:sz w:val="18"/>
          <w:szCs w:val="18"/>
        </w:rPr>
        <w:t xml:space="preserve"> </w:t>
      </w:r>
      <w:r w:rsidR="00C40BF7">
        <w:rPr>
          <w:rFonts w:ascii="Arial" w:hAnsi="Arial" w:cs="Arial"/>
          <w:bCs/>
          <w:sz w:val="18"/>
          <w:szCs w:val="18"/>
        </w:rPr>
        <w:t xml:space="preserve">currently </w:t>
      </w:r>
      <w:r w:rsidR="00805B0D">
        <w:rPr>
          <w:rFonts w:ascii="Arial" w:hAnsi="Arial" w:cs="Arial"/>
          <w:bCs/>
          <w:sz w:val="18"/>
          <w:szCs w:val="18"/>
        </w:rPr>
        <w:t xml:space="preserve">for oropharyngeal Candidiasis refractory to itraconazole and/or </w:t>
      </w:r>
      <w:r w:rsidR="00C40BF7">
        <w:rPr>
          <w:rFonts w:ascii="Arial" w:hAnsi="Arial" w:cs="Arial"/>
          <w:bCs/>
          <w:sz w:val="18"/>
          <w:szCs w:val="18"/>
        </w:rPr>
        <w:t>f</w:t>
      </w:r>
      <w:r w:rsidR="00805B0D">
        <w:rPr>
          <w:rFonts w:ascii="Arial" w:hAnsi="Arial" w:cs="Arial"/>
          <w:bCs/>
          <w:sz w:val="18"/>
          <w:szCs w:val="18"/>
        </w:rPr>
        <w:t>luconazole</w:t>
      </w:r>
      <w:r w:rsidR="004A5FC7">
        <w:rPr>
          <w:rFonts w:ascii="Arial" w:hAnsi="Arial" w:cs="Arial"/>
          <w:bCs/>
          <w:sz w:val="18"/>
          <w:szCs w:val="18"/>
        </w:rPr>
        <w:t>,</w:t>
      </w:r>
      <w:r w:rsidR="00805B0D">
        <w:rPr>
          <w:rFonts w:ascii="Arial" w:hAnsi="Arial" w:cs="Arial"/>
          <w:bCs/>
          <w:sz w:val="18"/>
          <w:szCs w:val="18"/>
        </w:rPr>
        <w:t xml:space="preserve"> </w:t>
      </w:r>
      <w:r w:rsidR="00741478">
        <w:rPr>
          <w:rFonts w:ascii="Arial" w:hAnsi="Arial" w:cs="Arial"/>
          <w:bCs/>
          <w:sz w:val="18"/>
          <w:szCs w:val="18"/>
        </w:rPr>
        <w:t xml:space="preserve">has been changed and requires at least one paid claim </w:t>
      </w:r>
      <w:r w:rsidR="00547FCD">
        <w:rPr>
          <w:rFonts w:ascii="Arial" w:hAnsi="Arial" w:cs="Arial"/>
          <w:bCs/>
          <w:sz w:val="18"/>
          <w:szCs w:val="18"/>
        </w:rPr>
        <w:t>of</w:t>
      </w:r>
      <w:r w:rsidR="00741478">
        <w:rPr>
          <w:rFonts w:ascii="Arial" w:hAnsi="Arial" w:cs="Arial"/>
          <w:bCs/>
          <w:sz w:val="18"/>
          <w:szCs w:val="18"/>
        </w:rPr>
        <w:t xml:space="preserve"> fluconazole in the past 30 days </w:t>
      </w:r>
      <w:r w:rsidR="005859DA">
        <w:rPr>
          <w:rFonts w:ascii="Arial" w:hAnsi="Arial" w:cs="Arial"/>
          <w:bCs/>
          <w:sz w:val="18"/>
          <w:szCs w:val="18"/>
        </w:rPr>
        <w:t>AND</w:t>
      </w:r>
      <w:r w:rsidR="00741478">
        <w:rPr>
          <w:rFonts w:ascii="Arial" w:hAnsi="Arial" w:cs="Arial"/>
          <w:bCs/>
          <w:sz w:val="18"/>
          <w:szCs w:val="18"/>
        </w:rPr>
        <w:t xml:space="preserve"> at least one paid claim </w:t>
      </w:r>
      <w:r w:rsidR="00547FCD">
        <w:rPr>
          <w:rFonts w:ascii="Arial" w:hAnsi="Arial" w:cs="Arial"/>
          <w:bCs/>
          <w:sz w:val="18"/>
          <w:szCs w:val="18"/>
        </w:rPr>
        <w:t>of</w:t>
      </w:r>
      <w:r w:rsidR="00741478">
        <w:rPr>
          <w:rFonts w:ascii="Arial" w:hAnsi="Arial" w:cs="Arial"/>
          <w:bCs/>
          <w:sz w:val="18"/>
          <w:szCs w:val="18"/>
        </w:rPr>
        <w:t xml:space="preserve"> it</w:t>
      </w:r>
      <w:r w:rsidR="00DE75B6">
        <w:rPr>
          <w:rFonts w:ascii="Arial" w:hAnsi="Arial" w:cs="Arial"/>
          <w:bCs/>
          <w:sz w:val="18"/>
          <w:szCs w:val="18"/>
        </w:rPr>
        <w:t>raconazole in the past 30 days.</w:t>
      </w:r>
    </w:p>
    <w:p w:rsidR="00741478" w:rsidRDefault="00741478" w:rsidP="00547FCD">
      <w:pPr>
        <w:ind w:left="720"/>
        <w:rPr>
          <w:rFonts w:ascii="Arial" w:hAnsi="Arial" w:cs="Arial"/>
          <w:b/>
          <w:bCs/>
          <w:sz w:val="18"/>
          <w:szCs w:val="18"/>
        </w:rPr>
      </w:pPr>
    </w:p>
    <w:p w:rsidR="00741478" w:rsidRPr="00741478" w:rsidRDefault="00B5085B" w:rsidP="00547FCD">
      <w:pPr>
        <w:autoSpaceDE w:val="0"/>
        <w:autoSpaceDN w:val="0"/>
        <w:adjustRightInd w:val="0"/>
        <w:ind w:left="1440"/>
        <w:rPr>
          <w:rFonts w:ascii="Arial" w:hAnsi="Arial" w:cs="Arial"/>
          <w:bCs/>
          <w:sz w:val="18"/>
          <w:szCs w:val="18"/>
        </w:rPr>
      </w:pPr>
      <w:r>
        <w:rPr>
          <w:rFonts w:ascii="Arial" w:hAnsi="Arial" w:cs="Arial"/>
          <w:bCs/>
          <w:sz w:val="18"/>
          <w:szCs w:val="18"/>
        </w:rPr>
        <w:t>Criterion 3:</w:t>
      </w:r>
    </w:p>
    <w:p w:rsidR="00741478" w:rsidRPr="00741478" w:rsidRDefault="009D0C58" w:rsidP="00787D43">
      <w:pPr>
        <w:pStyle w:val="ListParagraph"/>
        <w:numPr>
          <w:ilvl w:val="0"/>
          <w:numId w:val="8"/>
        </w:numPr>
        <w:autoSpaceDE w:val="0"/>
        <w:autoSpaceDN w:val="0"/>
        <w:adjustRightInd w:val="0"/>
        <w:spacing w:after="33"/>
        <w:ind w:left="1800"/>
        <w:rPr>
          <w:rFonts w:ascii="Arial" w:hAnsi="Arial" w:cs="Arial"/>
          <w:bCs/>
          <w:sz w:val="18"/>
          <w:szCs w:val="18"/>
        </w:rPr>
      </w:pPr>
      <w:r>
        <w:rPr>
          <w:rFonts w:ascii="Arial" w:hAnsi="Arial" w:cs="Arial"/>
          <w:bCs/>
          <w:sz w:val="18"/>
          <w:szCs w:val="18"/>
        </w:rPr>
        <w:t>≥ 13 years of age, AND</w:t>
      </w:r>
    </w:p>
    <w:p w:rsidR="00741478" w:rsidRPr="00741478" w:rsidRDefault="00741478" w:rsidP="00787D43">
      <w:pPr>
        <w:pStyle w:val="ListParagraph"/>
        <w:numPr>
          <w:ilvl w:val="0"/>
          <w:numId w:val="8"/>
        </w:numPr>
        <w:autoSpaceDE w:val="0"/>
        <w:autoSpaceDN w:val="0"/>
        <w:adjustRightInd w:val="0"/>
        <w:spacing w:after="33"/>
        <w:ind w:left="1800"/>
        <w:rPr>
          <w:rFonts w:ascii="Arial" w:hAnsi="Arial" w:cs="Arial"/>
          <w:bCs/>
          <w:sz w:val="18"/>
          <w:szCs w:val="18"/>
        </w:rPr>
      </w:pPr>
      <w:r w:rsidRPr="00741478">
        <w:rPr>
          <w:rFonts w:ascii="Arial" w:hAnsi="Arial" w:cs="Arial"/>
          <w:bCs/>
          <w:sz w:val="18"/>
          <w:szCs w:val="18"/>
        </w:rPr>
        <w:t xml:space="preserve">At least one paid claim for Fluconazole in the past 30 days, </w:t>
      </w:r>
      <w:r w:rsidRPr="00741478">
        <w:rPr>
          <w:rFonts w:ascii="Arial" w:hAnsi="Arial" w:cs="Arial"/>
          <w:b/>
          <w:bCs/>
          <w:sz w:val="18"/>
          <w:szCs w:val="18"/>
        </w:rPr>
        <w:t>AND</w:t>
      </w:r>
    </w:p>
    <w:p w:rsidR="00741478" w:rsidRDefault="00741478" w:rsidP="00787D43">
      <w:pPr>
        <w:pStyle w:val="ListParagraph"/>
        <w:numPr>
          <w:ilvl w:val="0"/>
          <w:numId w:val="8"/>
        </w:numPr>
        <w:ind w:left="1800"/>
        <w:rPr>
          <w:rFonts w:ascii="Arial" w:hAnsi="Arial" w:cs="Arial"/>
          <w:bCs/>
          <w:sz w:val="18"/>
          <w:szCs w:val="18"/>
        </w:rPr>
      </w:pPr>
      <w:r w:rsidRPr="00741478">
        <w:rPr>
          <w:rFonts w:ascii="Arial" w:hAnsi="Arial" w:cs="Arial"/>
          <w:bCs/>
          <w:sz w:val="18"/>
          <w:szCs w:val="18"/>
        </w:rPr>
        <w:t>At least one paid claim for Itraconazole in the past 30</w:t>
      </w:r>
      <w:r w:rsidR="00AE5B33">
        <w:rPr>
          <w:rFonts w:ascii="Arial" w:hAnsi="Arial" w:cs="Arial"/>
          <w:bCs/>
          <w:sz w:val="18"/>
          <w:szCs w:val="18"/>
        </w:rPr>
        <w:t xml:space="preserve"> </w:t>
      </w:r>
      <w:r w:rsidRPr="00741478">
        <w:rPr>
          <w:rFonts w:ascii="Arial" w:hAnsi="Arial" w:cs="Arial"/>
          <w:bCs/>
          <w:sz w:val="18"/>
          <w:szCs w:val="18"/>
        </w:rPr>
        <w:t>days.</w:t>
      </w:r>
    </w:p>
    <w:p w:rsidR="00B57AF1" w:rsidRDefault="00B57AF1" w:rsidP="007153D2">
      <w:pPr>
        <w:pStyle w:val="ListParagraph"/>
        <w:ind w:left="1080"/>
        <w:rPr>
          <w:rFonts w:ascii="Arial" w:hAnsi="Arial" w:cs="Arial"/>
          <w:bCs/>
          <w:sz w:val="18"/>
          <w:szCs w:val="18"/>
        </w:rPr>
      </w:pPr>
    </w:p>
    <w:p w:rsidR="00062A09" w:rsidRDefault="00062A09" w:rsidP="00062A09">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AE5B33">
        <w:rPr>
          <w:rFonts w:ascii="Arial" w:hAnsi="Arial" w:cs="Arial"/>
          <w:b/>
          <w:sz w:val="18"/>
          <w:szCs w:val="18"/>
        </w:rPr>
        <w:t>.</w:t>
      </w:r>
    </w:p>
    <w:p w:rsidR="00CC67E3" w:rsidRDefault="00CC67E3" w:rsidP="00062A09">
      <w:pPr>
        <w:pStyle w:val="ListParagraph"/>
        <w:tabs>
          <w:tab w:val="left" w:pos="1095"/>
        </w:tabs>
        <w:ind w:left="1080"/>
        <w:rPr>
          <w:rFonts w:ascii="Arial" w:hAnsi="Arial" w:cs="Arial"/>
          <w:b/>
          <w:sz w:val="18"/>
          <w:szCs w:val="18"/>
        </w:rPr>
      </w:pPr>
    </w:p>
    <w:p w:rsidR="009564D7" w:rsidRPr="00464DAF" w:rsidRDefault="009564D7" w:rsidP="008D2077">
      <w:pPr>
        <w:pStyle w:val="ListParagraph"/>
        <w:rPr>
          <w:rFonts w:ascii="Arial" w:hAnsi="Arial" w:cs="Arial"/>
          <w:bCs/>
          <w:sz w:val="18"/>
          <w:szCs w:val="18"/>
        </w:rPr>
      </w:pPr>
    </w:p>
    <w:p w:rsidR="00010B8C" w:rsidRPr="00553694" w:rsidRDefault="00010B8C" w:rsidP="00010B8C">
      <w:pPr>
        <w:pStyle w:val="ListParagraph"/>
        <w:numPr>
          <w:ilvl w:val="0"/>
          <w:numId w:val="6"/>
        </w:numPr>
        <w:rPr>
          <w:rFonts w:ascii="Arial" w:hAnsi="Arial" w:cs="Arial"/>
          <w:sz w:val="18"/>
          <w:szCs w:val="18"/>
        </w:rPr>
      </w:pPr>
      <w:r w:rsidRPr="00AB114B">
        <w:rPr>
          <w:rFonts w:ascii="Arial" w:hAnsi="Arial" w:cs="Arial"/>
          <w:b/>
          <w:sz w:val="18"/>
          <w:szCs w:val="18"/>
          <w:u w:val="single"/>
        </w:rPr>
        <w:t xml:space="preserve">CLINICAL EDITS THROUGH MANUAL REVIEW </w:t>
      </w:r>
      <w:r w:rsidR="00AB114B" w:rsidRPr="00AB114B">
        <w:rPr>
          <w:rFonts w:ascii="Arial" w:hAnsi="Arial" w:cs="Arial"/>
          <w:b/>
          <w:sz w:val="18"/>
          <w:szCs w:val="18"/>
          <w:u w:val="single"/>
        </w:rPr>
        <w:t xml:space="preserve">PRIOR APPROVAL </w:t>
      </w:r>
      <w:r w:rsidR="00553694">
        <w:rPr>
          <w:rFonts w:ascii="Arial" w:hAnsi="Arial" w:cs="Arial"/>
          <w:b/>
          <w:sz w:val="18"/>
          <w:szCs w:val="18"/>
          <w:u w:val="single"/>
        </w:rPr>
        <w:t>(PA) PROCESS:</w:t>
      </w:r>
    </w:p>
    <w:p w:rsidR="00553694" w:rsidRPr="00553694" w:rsidRDefault="00553694" w:rsidP="00553694">
      <w:pPr>
        <w:pStyle w:val="ListParagraph"/>
        <w:rPr>
          <w:rFonts w:ascii="Arial" w:hAnsi="Arial" w:cs="Arial"/>
          <w:sz w:val="18"/>
          <w:szCs w:val="18"/>
        </w:rPr>
      </w:pPr>
    </w:p>
    <w:p w:rsidR="00553694" w:rsidRDefault="00553694" w:rsidP="00553694">
      <w:pPr>
        <w:pStyle w:val="ListParagraph"/>
        <w:numPr>
          <w:ilvl w:val="1"/>
          <w:numId w:val="6"/>
        </w:numPr>
        <w:rPr>
          <w:rFonts w:ascii="Arial" w:hAnsi="Arial" w:cs="Arial"/>
          <w:b/>
          <w:sz w:val="18"/>
          <w:szCs w:val="18"/>
          <w:u w:val="single"/>
        </w:rPr>
      </w:pPr>
      <w:r w:rsidRPr="00B57AF1">
        <w:rPr>
          <w:rFonts w:ascii="Arial" w:hAnsi="Arial" w:cs="Arial"/>
          <w:b/>
          <w:sz w:val="18"/>
          <w:szCs w:val="18"/>
          <w:u w:val="single"/>
        </w:rPr>
        <w:t>Noxafil</w:t>
      </w:r>
      <w:r w:rsidR="009408F8">
        <w:rPr>
          <w:rFonts w:ascii="Arial" w:hAnsi="Arial" w:cs="Arial"/>
          <w:b/>
          <w:sz w:val="18"/>
          <w:szCs w:val="18"/>
          <w:u w:val="single"/>
        </w:rPr>
        <w:t>®</w:t>
      </w:r>
      <w:r w:rsidRPr="00B57AF1">
        <w:rPr>
          <w:rFonts w:ascii="Arial" w:hAnsi="Arial" w:cs="Arial"/>
          <w:b/>
          <w:sz w:val="18"/>
          <w:szCs w:val="18"/>
          <w:u w:val="single"/>
        </w:rPr>
        <w:t xml:space="preserve"> </w:t>
      </w:r>
      <w:r w:rsidR="009D0C58">
        <w:rPr>
          <w:rFonts w:ascii="Arial" w:hAnsi="Arial" w:cs="Arial"/>
          <w:b/>
          <w:sz w:val="18"/>
          <w:szCs w:val="18"/>
          <w:u w:val="single"/>
        </w:rPr>
        <w:t xml:space="preserve">DR 100 </w:t>
      </w:r>
      <w:r>
        <w:rPr>
          <w:rFonts w:ascii="Arial" w:hAnsi="Arial" w:cs="Arial"/>
          <w:b/>
          <w:sz w:val="18"/>
          <w:szCs w:val="18"/>
          <w:u w:val="single"/>
        </w:rPr>
        <w:t>mg oral tablet, and Noxafil</w:t>
      </w:r>
      <w:r w:rsidR="009408F8">
        <w:rPr>
          <w:rFonts w:ascii="Arial" w:hAnsi="Arial" w:cs="Arial"/>
          <w:b/>
          <w:sz w:val="18"/>
          <w:szCs w:val="18"/>
          <w:u w:val="single"/>
        </w:rPr>
        <w:t>®</w:t>
      </w:r>
      <w:r>
        <w:rPr>
          <w:rFonts w:ascii="Arial" w:hAnsi="Arial" w:cs="Arial"/>
          <w:b/>
          <w:sz w:val="18"/>
          <w:szCs w:val="18"/>
          <w:u w:val="single"/>
        </w:rPr>
        <w:t xml:space="preserve"> 300 mg vial:</w:t>
      </w:r>
    </w:p>
    <w:p w:rsidR="00553694" w:rsidRPr="00553694" w:rsidRDefault="004A5FC7" w:rsidP="00DD08A6">
      <w:pPr>
        <w:pStyle w:val="ListParagraph"/>
        <w:ind w:left="1440"/>
        <w:rPr>
          <w:rFonts w:ascii="Arial" w:hAnsi="Arial" w:cs="Arial"/>
          <w:bCs/>
          <w:sz w:val="18"/>
          <w:szCs w:val="18"/>
        </w:rPr>
      </w:pPr>
      <w:r>
        <w:rPr>
          <w:rFonts w:ascii="Arial" w:hAnsi="Arial" w:cs="Arial"/>
          <w:bCs/>
          <w:sz w:val="18"/>
          <w:szCs w:val="18"/>
        </w:rPr>
        <w:t xml:space="preserve">Noxafil® injection and </w:t>
      </w:r>
      <w:r w:rsidR="00553694" w:rsidRPr="00553694">
        <w:rPr>
          <w:rFonts w:ascii="Arial" w:hAnsi="Arial" w:cs="Arial"/>
          <w:bCs/>
          <w:sz w:val="18"/>
          <w:szCs w:val="18"/>
        </w:rPr>
        <w:t>delayed-release tablets are indicated for prophylaxis of invasive Aspergillus and Candida infections in patients who are at high risk of developing these infections due to being severely immunocompromised, such as hematopoietic stem cell transplant (HSCT) recipients with graft-versus-host disease (GVHD) or those with hematologic malignancies with prolonged</w:t>
      </w:r>
      <w:r w:rsidR="008261D6">
        <w:rPr>
          <w:rFonts w:ascii="Arial" w:hAnsi="Arial" w:cs="Arial"/>
          <w:bCs/>
          <w:sz w:val="18"/>
          <w:szCs w:val="18"/>
        </w:rPr>
        <w:t xml:space="preserve"> neutropenia from chemotherapy.</w:t>
      </w:r>
      <w:r w:rsidR="00553694" w:rsidRPr="00553694">
        <w:rPr>
          <w:rFonts w:ascii="Arial" w:hAnsi="Arial" w:cs="Arial"/>
          <w:bCs/>
          <w:sz w:val="18"/>
          <w:szCs w:val="18"/>
        </w:rPr>
        <w:t xml:space="preserve"> Noxafil® injection is indicated in pati</w:t>
      </w:r>
      <w:r w:rsidR="0066310C">
        <w:rPr>
          <w:rFonts w:ascii="Arial" w:hAnsi="Arial" w:cs="Arial"/>
          <w:bCs/>
          <w:sz w:val="18"/>
          <w:szCs w:val="18"/>
        </w:rPr>
        <w:t>ents 18 years of age and older.</w:t>
      </w:r>
      <w:r w:rsidR="00553694" w:rsidRPr="00553694">
        <w:rPr>
          <w:rFonts w:ascii="Arial" w:hAnsi="Arial" w:cs="Arial"/>
          <w:bCs/>
          <w:sz w:val="18"/>
          <w:szCs w:val="18"/>
        </w:rPr>
        <w:t xml:space="preserve"> Noxafil® delayed-release tablets are indicated in patients 13 years of age and older.</w:t>
      </w:r>
      <w:r w:rsidR="00805B0D">
        <w:rPr>
          <w:rFonts w:ascii="Arial" w:hAnsi="Arial" w:cs="Arial"/>
          <w:bCs/>
          <w:sz w:val="18"/>
          <w:szCs w:val="18"/>
        </w:rPr>
        <w:t xml:space="preserve"> </w:t>
      </w:r>
      <w:r>
        <w:rPr>
          <w:rFonts w:ascii="Arial" w:hAnsi="Arial" w:cs="Arial"/>
          <w:bCs/>
          <w:sz w:val="18"/>
          <w:szCs w:val="18"/>
        </w:rPr>
        <w:t xml:space="preserve">The delayed release tablets and the injection are not indicated for </w:t>
      </w:r>
      <w:r w:rsidRPr="004A5FC7">
        <w:rPr>
          <w:rFonts w:ascii="Arial" w:hAnsi="Arial" w:cs="Arial"/>
          <w:bCs/>
          <w:sz w:val="18"/>
          <w:szCs w:val="18"/>
        </w:rPr>
        <w:t xml:space="preserve">Oropharyngeal Candidiasis Refractory to </w:t>
      </w:r>
      <w:r w:rsidR="00961236">
        <w:rPr>
          <w:rFonts w:ascii="Arial" w:hAnsi="Arial" w:cs="Arial"/>
          <w:bCs/>
          <w:sz w:val="18"/>
          <w:szCs w:val="18"/>
        </w:rPr>
        <w:t>i</w:t>
      </w:r>
      <w:r w:rsidRPr="004A5FC7">
        <w:rPr>
          <w:rFonts w:ascii="Arial" w:hAnsi="Arial" w:cs="Arial"/>
          <w:bCs/>
          <w:sz w:val="18"/>
          <w:szCs w:val="18"/>
        </w:rPr>
        <w:t xml:space="preserve">traconazole and/or </w:t>
      </w:r>
      <w:r w:rsidR="00961236">
        <w:rPr>
          <w:rFonts w:ascii="Arial" w:hAnsi="Arial" w:cs="Arial"/>
          <w:bCs/>
          <w:sz w:val="18"/>
          <w:szCs w:val="18"/>
        </w:rPr>
        <w:t>f</w:t>
      </w:r>
      <w:r w:rsidRPr="004A5FC7">
        <w:rPr>
          <w:rFonts w:ascii="Arial" w:hAnsi="Arial" w:cs="Arial"/>
          <w:bCs/>
          <w:sz w:val="18"/>
          <w:szCs w:val="18"/>
        </w:rPr>
        <w:t>luconazole</w:t>
      </w:r>
      <w:r w:rsidR="00DE75B6">
        <w:rPr>
          <w:rFonts w:ascii="Arial" w:hAnsi="Arial" w:cs="Arial"/>
          <w:bCs/>
          <w:sz w:val="18"/>
          <w:szCs w:val="18"/>
        </w:rPr>
        <w:t>.</w:t>
      </w:r>
    </w:p>
    <w:p w:rsidR="00553694" w:rsidRPr="00B57AF1" w:rsidRDefault="00553694" w:rsidP="00553694">
      <w:pPr>
        <w:pStyle w:val="ListParagraph"/>
        <w:ind w:left="1440"/>
        <w:rPr>
          <w:rFonts w:ascii="Arial" w:hAnsi="Arial" w:cs="Arial"/>
          <w:b/>
          <w:sz w:val="18"/>
          <w:szCs w:val="18"/>
          <w:u w:val="single"/>
        </w:rPr>
      </w:pPr>
    </w:p>
    <w:p w:rsidR="00553694" w:rsidRDefault="00553694" w:rsidP="00DD08A6">
      <w:pPr>
        <w:pStyle w:val="ListParagraph"/>
        <w:ind w:left="1440"/>
        <w:rPr>
          <w:rFonts w:ascii="Arial" w:hAnsi="Arial" w:cs="Arial"/>
          <w:bCs/>
          <w:sz w:val="18"/>
          <w:szCs w:val="18"/>
        </w:rPr>
      </w:pPr>
      <w:r>
        <w:rPr>
          <w:rFonts w:ascii="Arial" w:hAnsi="Arial" w:cs="Arial"/>
          <w:bCs/>
          <w:sz w:val="18"/>
          <w:szCs w:val="18"/>
        </w:rPr>
        <w:t>The reimbursement rates for Noxafil</w:t>
      </w:r>
      <w:r w:rsidR="009408F8">
        <w:rPr>
          <w:rFonts w:ascii="Arial" w:hAnsi="Arial" w:cs="Arial"/>
          <w:bCs/>
          <w:sz w:val="18"/>
          <w:szCs w:val="18"/>
        </w:rPr>
        <w:t>®</w:t>
      </w:r>
      <w:r>
        <w:rPr>
          <w:rFonts w:ascii="Arial" w:hAnsi="Arial" w:cs="Arial"/>
          <w:bCs/>
          <w:sz w:val="18"/>
          <w:szCs w:val="18"/>
        </w:rPr>
        <w:t xml:space="preserve"> </w:t>
      </w:r>
      <w:r w:rsidR="004A5FC7">
        <w:rPr>
          <w:rFonts w:ascii="Arial" w:hAnsi="Arial" w:cs="Arial"/>
          <w:bCs/>
          <w:sz w:val="18"/>
          <w:szCs w:val="18"/>
        </w:rPr>
        <w:t xml:space="preserve">tablets and injection </w:t>
      </w:r>
      <w:r>
        <w:rPr>
          <w:rFonts w:ascii="Arial" w:hAnsi="Arial" w:cs="Arial"/>
          <w:bCs/>
          <w:sz w:val="18"/>
          <w:szCs w:val="18"/>
        </w:rPr>
        <w:t>are as follows: Noxafil</w:t>
      </w:r>
      <w:r w:rsidR="009408F8">
        <w:rPr>
          <w:rFonts w:ascii="Arial" w:hAnsi="Arial" w:cs="Arial"/>
          <w:bCs/>
          <w:sz w:val="18"/>
          <w:szCs w:val="18"/>
        </w:rPr>
        <w:t>®</w:t>
      </w:r>
      <w:r>
        <w:rPr>
          <w:rFonts w:ascii="Arial" w:hAnsi="Arial" w:cs="Arial"/>
          <w:bCs/>
          <w:sz w:val="18"/>
          <w:szCs w:val="18"/>
        </w:rPr>
        <w:t xml:space="preserve"> DR 100 mg tablet is $55.43 per 100 mg tablet; Noxafi</w:t>
      </w:r>
      <w:r w:rsidR="00961236">
        <w:rPr>
          <w:rFonts w:ascii="Arial" w:hAnsi="Arial" w:cs="Arial"/>
          <w:bCs/>
          <w:sz w:val="18"/>
          <w:szCs w:val="18"/>
        </w:rPr>
        <w:t>l</w:t>
      </w:r>
      <w:r w:rsidR="009408F8">
        <w:rPr>
          <w:rFonts w:ascii="Arial" w:hAnsi="Arial" w:cs="Arial"/>
          <w:bCs/>
          <w:sz w:val="18"/>
          <w:szCs w:val="18"/>
        </w:rPr>
        <w:t>®</w:t>
      </w:r>
      <w:r>
        <w:rPr>
          <w:rFonts w:ascii="Arial" w:hAnsi="Arial" w:cs="Arial"/>
          <w:bCs/>
          <w:sz w:val="18"/>
          <w:szCs w:val="18"/>
        </w:rPr>
        <w:t xml:space="preserve"> 300 mg vial is $509.23 per vial.</w:t>
      </w:r>
    </w:p>
    <w:p w:rsidR="00553694" w:rsidRDefault="00553694" w:rsidP="00553694">
      <w:pPr>
        <w:pStyle w:val="ListParagraph"/>
        <w:ind w:left="1440"/>
        <w:rPr>
          <w:rFonts w:ascii="Arial" w:hAnsi="Arial" w:cs="Arial"/>
          <w:sz w:val="18"/>
          <w:szCs w:val="18"/>
        </w:rPr>
      </w:pPr>
    </w:p>
    <w:tbl>
      <w:tblPr>
        <w:tblW w:w="4347" w:type="pct"/>
        <w:tblInd w:w="1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2631"/>
        <w:gridCol w:w="5559"/>
      </w:tblGrid>
      <w:tr w:rsidR="00553694" w:rsidRPr="00547FCD" w:rsidTr="005B12BA">
        <w:trPr>
          <w:tblHeader/>
        </w:trPr>
        <w:tc>
          <w:tcPr>
            <w:tcW w:w="5000" w:type="pct"/>
            <w:gridSpan w:val="2"/>
            <w:tcBorders>
              <w:top w:val="single" w:sz="24" w:space="0" w:color="auto"/>
              <w:left w:val="single" w:sz="24" w:space="0" w:color="auto"/>
              <w:right w:val="single" w:sz="24" w:space="0" w:color="auto"/>
            </w:tcBorders>
            <w:hideMark/>
          </w:tcPr>
          <w:p w:rsidR="00553694" w:rsidRPr="00547FCD" w:rsidRDefault="00553694" w:rsidP="005B12BA">
            <w:pPr>
              <w:pStyle w:val="ListParagraph"/>
              <w:ind w:left="2415"/>
              <w:rPr>
                <w:rFonts w:ascii="Arial" w:hAnsi="Arial" w:cs="Arial"/>
                <w:b/>
                <w:bCs/>
                <w:sz w:val="16"/>
                <w:szCs w:val="16"/>
              </w:rPr>
            </w:pPr>
            <w:r w:rsidRPr="00547FCD">
              <w:rPr>
                <w:rFonts w:ascii="Arial" w:hAnsi="Arial" w:cs="Arial" w:hint="eastAsia"/>
                <w:b/>
                <w:bCs/>
                <w:sz w:val="16"/>
                <w:szCs w:val="16"/>
              </w:rPr>
              <w:t>Dosing for Noxafil</w:t>
            </w:r>
            <w:r w:rsidR="009408F8">
              <w:rPr>
                <w:rFonts w:ascii="Arial" w:hAnsi="Arial" w:cs="Arial"/>
                <w:b/>
                <w:bCs/>
                <w:sz w:val="16"/>
                <w:szCs w:val="16"/>
              </w:rPr>
              <w:t>®</w:t>
            </w:r>
            <w:r w:rsidRPr="00547FCD">
              <w:rPr>
                <w:rFonts w:ascii="Arial" w:hAnsi="Arial" w:cs="Arial" w:hint="eastAsia"/>
                <w:b/>
                <w:bCs/>
                <w:sz w:val="16"/>
                <w:szCs w:val="16"/>
              </w:rPr>
              <w:t xml:space="preserve"> Injection</w:t>
            </w:r>
          </w:p>
        </w:tc>
      </w:tr>
      <w:tr w:rsidR="00553694" w:rsidRPr="00547FCD" w:rsidTr="005B12BA">
        <w:trPr>
          <w:tblHeader/>
        </w:trPr>
        <w:tc>
          <w:tcPr>
            <w:tcW w:w="1606" w:type="pct"/>
            <w:tcBorders>
              <w:left w:val="single" w:sz="24" w:space="0" w:color="auto"/>
              <w:bottom w:val="single" w:sz="6" w:space="0" w:color="auto"/>
            </w:tcBorders>
            <w:hideMark/>
          </w:tcPr>
          <w:p w:rsidR="00553694" w:rsidRPr="00547FCD" w:rsidRDefault="00553694" w:rsidP="00553694">
            <w:pPr>
              <w:pStyle w:val="ListParagraph"/>
              <w:ind w:left="1080"/>
              <w:rPr>
                <w:rFonts w:ascii="Arial" w:hAnsi="Arial" w:cs="Arial"/>
                <w:b/>
                <w:bCs/>
                <w:sz w:val="16"/>
                <w:szCs w:val="16"/>
              </w:rPr>
            </w:pPr>
            <w:r w:rsidRPr="00547FCD">
              <w:rPr>
                <w:rFonts w:ascii="Arial" w:hAnsi="Arial" w:cs="Arial" w:hint="eastAsia"/>
                <w:b/>
                <w:bCs/>
                <w:sz w:val="16"/>
                <w:szCs w:val="16"/>
              </w:rPr>
              <w:t>Indication</w:t>
            </w:r>
          </w:p>
        </w:tc>
        <w:tc>
          <w:tcPr>
            <w:tcW w:w="3394" w:type="pct"/>
            <w:tcBorders>
              <w:bottom w:val="single" w:sz="6" w:space="0" w:color="auto"/>
              <w:right w:val="single" w:sz="24" w:space="0" w:color="auto"/>
            </w:tcBorders>
            <w:hideMark/>
          </w:tcPr>
          <w:p w:rsidR="00553694" w:rsidRPr="00547FCD" w:rsidRDefault="00553694" w:rsidP="00553694">
            <w:pPr>
              <w:pStyle w:val="ListParagraph"/>
              <w:ind w:left="1080"/>
              <w:rPr>
                <w:rFonts w:ascii="Arial" w:hAnsi="Arial" w:cs="Arial"/>
                <w:b/>
                <w:bCs/>
                <w:sz w:val="16"/>
                <w:szCs w:val="16"/>
              </w:rPr>
            </w:pPr>
            <w:r w:rsidRPr="00547FCD">
              <w:rPr>
                <w:rFonts w:ascii="Arial" w:hAnsi="Arial" w:cs="Arial" w:hint="eastAsia"/>
                <w:b/>
                <w:bCs/>
                <w:sz w:val="16"/>
                <w:szCs w:val="16"/>
              </w:rPr>
              <w:t>Dose and Duration of Therapy</w:t>
            </w:r>
          </w:p>
        </w:tc>
      </w:tr>
      <w:tr w:rsidR="00553694" w:rsidRPr="00547FCD" w:rsidTr="005B12BA">
        <w:tc>
          <w:tcPr>
            <w:tcW w:w="1606" w:type="pct"/>
            <w:vMerge w:val="restart"/>
            <w:tcBorders>
              <w:left w:val="single" w:sz="24" w:space="0" w:color="auto"/>
              <w:bottom w:val="nil"/>
            </w:tcBorders>
            <w:hideMark/>
          </w:tcPr>
          <w:p w:rsidR="00553694" w:rsidRPr="00553694" w:rsidRDefault="00553694" w:rsidP="00553694">
            <w:pPr>
              <w:rPr>
                <w:rFonts w:ascii="Arial" w:hAnsi="Arial" w:cs="Arial"/>
                <w:bCs/>
                <w:sz w:val="16"/>
                <w:szCs w:val="16"/>
              </w:rPr>
            </w:pPr>
            <w:r w:rsidRPr="00553694">
              <w:rPr>
                <w:rFonts w:ascii="Arial" w:hAnsi="Arial" w:cs="Arial" w:hint="eastAsia"/>
                <w:bCs/>
                <w:sz w:val="16"/>
                <w:szCs w:val="16"/>
              </w:rPr>
              <w:t xml:space="preserve">Prophylaxis of invasive </w:t>
            </w:r>
            <w:r w:rsidRPr="00553694">
              <w:rPr>
                <w:rFonts w:ascii="Arial" w:hAnsi="Arial" w:cs="Arial" w:hint="eastAsia"/>
                <w:bCs/>
                <w:i/>
                <w:iCs/>
                <w:sz w:val="16"/>
                <w:szCs w:val="16"/>
              </w:rPr>
              <w:t>Aspergillus</w:t>
            </w:r>
            <w:r w:rsidRPr="00553694">
              <w:rPr>
                <w:rFonts w:ascii="Arial" w:hAnsi="Arial" w:cs="Arial" w:hint="eastAsia"/>
                <w:bCs/>
                <w:sz w:val="16"/>
                <w:szCs w:val="16"/>
              </w:rPr>
              <w:t xml:space="preserve"> and </w:t>
            </w:r>
            <w:r w:rsidRPr="00553694">
              <w:rPr>
                <w:rFonts w:ascii="Arial" w:hAnsi="Arial" w:cs="Arial" w:hint="eastAsia"/>
                <w:bCs/>
                <w:i/>
                <w:iCs/>
                <w:sz w:val="16"/>
                <w:szCs w:val="16"/>
              </w:rPr>
              <w:t xml:space="preserve">Candida </w:t>
            </w:r>
            <w:r w:rsidRPr="00553694">
              <w:rPr>
                <w:rFonts w:ascii="Arial" w:hAnsi="Arial" w:cs="Arial" w:hint="eastAsia"/>
                <w:bCs/>
                <w:sz w:val="16"/>
                <w:szCs w:val="16"/>
              </w:rPr>
              <w:t>infections</w:t>
            </w:r>
          </w:p>
        </w:tc>
        <w:tc>
          <w:tcPr>
            <w:tcW w:w="3394" w:type="pct"/>
            <w:tcBorders>
              <w:bottom w:val="nil"/>
              <w:right w:val="single" w:sz="24" w:space="0" w:color="auto"/>
            </w:tcBorders>
            <w:hideMark/>
          </w:tcPr>
          <w:p w:rsidR="00553694" w:rsidRPr="00553694" w:rsidRDefault="00553694" w:rsidP="00553694">
            <w:pPr>
              <w:rPr>
                <w:rFonts w:ascii="Arial" w:hAnsi="Arial" w:cs="Arial"/>
                <w:bCs/>
                <w:sz w:val="16"/>
                <w:szCs w:val="16"/>
              </w:rPr>
            </w:pPr>
            <w:r w:rsidRPr="00553694">
              <w:rPr>
                <w:rFonts w:ascii="Arial" w:hAnsi="Arial" w:cs="Arial" w:hint="eastAsia"/>
                <w:bCs/>
                <w:sz w:val="16"/>
                <w:szCs w:val="16"/>
                <w:u w:val="single"/>
              </w:rPr>
              <w:t>Loading dose</w:t>
            </w:r>
            <w:r w:rsidRPr="00553694">
              <w:rPr>
                <w:rFonts w:ascii="Arial" w:hAnsi="Arial" w:cs="Arial" w:hint="eastAsia"/>
                <w:bCs/>
                <w:sz w:val="16"/>
                <w:szCs w:val="16"/>
              </w:rPr>
              <w:t>:</w:t>
            </w:r>
            <w:r w:rsidRPr="00553694">
              <w:rPr>
                <w:rFonts w:ascii="Arial" w:hAnsi="Arial" w:cs="Arial" w:hint="eastAsia"/>
                <w:bCs/>
                <w:sz w:val="16"/>
                <w:szCs w:val="16"/>
              </w:rPr>
              <w:br/>
              <w:t>300 mg Noxafil injection intravenously twice a day on the first day.</w:t>
            </w:r>
          </w:p>
        </w:tc>
      </w:tr>
      <w:tr w:rsidR="00553694" w:rsidRPr="00547FCD" w:rsidTr="005B12BA">
        <w:trPr>
          <w:trHeight w:val="354"/>
        </w:trPr>
        <w:tc>
          <w:tcPr>
            <w:tcW w:w="1606" w:type="pct"/>
            <w:vMerge/>
            <w:tcBorders>
              <w:top w:val="nil"/>
              <w:left w:val="single" w:sz="24" w:space="0" w:color="auto"/>
              <w:bottom w:val="single" w:sz="24" w:space="0" w:color="auto"/>
            </w:tcBorders>
            <w:hideMark/>
          </w:tcPr>
          <w:p w:rsidR="00553694" w:rsidRPr="00547FCD" w:rsidRDefault="00553694" w:rsidP="00553694">
            <w:pPr>
              <w:pStyle w:val="ListParagraph"/>
              <w:ind w:left="1080"/>
              <w:rPr>
                <w:rFonts w:ascii="Arial" w:hAnsi="Arial" w:cs="Arial"/>
                <w:bCs/>
                <w:sz w:val="16"/>
                <w:szCs w:val="16"/>
              </w:rPr>
            </w:pPr>
          </w:p>
        </w:tc>
        <w:tc>
          <w:tcPr>
            <w:tcW w:w="3394" w:type="pct"/>
            <w:tcBorders>
              <w:top w:val="nil"/>
              <w:bottom w:val="single" w:sz="24" w:space="0" w:color="auto"/>
              <w:right w:val="single" w:sz="24" w:space="0" w:color="auto"/>
            </w:tcBorders>
            <w:hideMark/>
          </w:tcPr>
          <w:p w:rsidR="00553694" w:rsidRPr="00553694" w:rsidRDefault="00553694" w:rsidP="00553694">
            <w:pPr>
              <w:rPr>
                <w:rFonts w:ascii="Arial" w:hAnsi="Arial" w:cs="Arial"/>
                <w:bCs/>
                <w:sz w:val="16"/>
                <w:szCs w:val="16"/>
              </w:rPr>
            </w:pPr>
            <w:r w:rsidRPr="00553694">
              <w:rPr>
                <w:rFonts w:ascii="Arial" w:hAnsi="Arial" w:cs="Arial" w:hint="eastAsia"/>
                <w:bCs/>
                <w:sz w:val="16"/>
                <w:szCs w:val="16"/>
                <w:u w:val="single"/>
              </w:rPr>
              <w:t>Maintenance dose</w:t>
            </w:r>
            <w:r w:rsidRPr="00553694">
              <w:rPr>
                <w:rFonts w:ascii="Arial" w:hAnsi="Arial" w:cs="Arial" w:hint="eastAsia"/>
                <w:bCs/>
                <w:sz w:val="16"/>
                <w:szCs w:val="16"/>
              </w:rPr>
              <w:t>:</w:t>
            </w:r>
            <w:r w:rsidRPr="00553694">
              <w:rPr>
                <w:rFonts w:ascii="Arial" w:hAnsi="Arial" w:cs="Arial" w:hint="eastAsia"/>
                <w:bCs/>
                <w:sz w:val="16"/>
                <w:szCs w:val="16"/>
              </w:rPr>
              <w:br/>
              <w:t>300 mg Noxafil injection intravenously once a day, starting on the second day. Duration of therapy is based on recovery from neutropenia or immunosuppression.</w:t>
            </w:r>
          </w:p>
        </w:tc>
      </w:tr>
    </w:tbl>
    <w:p w:rsidR="00553694" w:rsidRDefault="00553694" w:rsidP="00553694">
      <w:pPr>
        <w:rPr>
          <w:rFonts w:ascii="Arial" w:hAnsi="Arial" w:cs="Arial"/>
          <w:sz w:val="18"/>
          <w:szCs w:val="18"/>
        </w:rPr>
      </w:pPr>
    </w:p>
    <w:tbl>
      <w:tblPr>
        <w:tblW w:w="4347" w:type="pct"/>
        <w:tblInd w:w="111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top w:w="15" w:type="dxa"/>
          <w:left w:w="15" w:type="dxa"/>
          <w:bottom w:w="15" w:type="dxa"/>
          <w:right w:w="15" w:type="dxa"/>
        </w:tblCellMar>
        <w:tblLook w:val="04A0"/>
      </w:tblPr>
      <w:tblGrid>
        <w:gridCol w:w="2611"/>
        <w:gridCol w:w="5579"/>
      </w:tblGrid>
      <w:tr w:rsidR="00553694" w:rsidRPr="007153D2" w:rsidTr="005B12BA">
        <w:trPr>
          <w:tblHeader/>
        </w:trPr>
        <w:tc>
          <w:tcPr>
            <w:tcW w:w="5000" w:type="pct"/>
            <w:gridSpan w:val="2"/>
            <w:tcBorders>
              <w:top w:val="single" w:sz="24" w:space="0" w:color="auto"/>
            </w:tcBorders>
            <w:hideMark/>
          </w:tcPr>
          <w:p w:rsidR="00553694" w:rsidRPr="005859DA" w:rsidRDefault="00553694" w:rsidP="005B12BA">
            <w:pPr>
              <w:pStyle w:val="ListParagraph"/>
              <w:ind w:left="0"/>
              <w:jc w:val="center"/>
              <w:rPr>
                <w:rFonts w:ascii="Arial" w:hAnsi="Arial" w:cs="Arial"/>
                <w:b/>
                <w:bCs/>
                <w:sz w:val="16"/>
                <w:szCs w:val="16"/>
              </w:rPr>
            </w:pPr>
            <w:r w:rsidRPr="005859DA">
              <w:rPr>
                <w:rFonts w:ascii="Arial" w:hAnsi="Arial" w:cs="Arial" w:hint="eastAsia"/>
                <w:b/>
                <w:bCs/>
                <w:sz w:val="16"/>
                <w:szCs w:val="16"/>
              </w:rPr>
              <w:t>Dosing for Noxafil</w:t>
            </w:r>
            <w:r w:rsidR="009408F8">
              <w:rPr>
                <w:rFonts w:ascii="Arial" w:hAnsi="Arial" w:cs="Arial"/>
                <w:b/>
                <w:bCs/>
                <w:sz w:val="16"/>
                <w:szCs w:val="16"/>
              </w:rPr>
              <w:t>®</w:t>
            </w:r>
            <w:r w:rsidRPr="005859DA">
              <w:rPr>
                <w:rFonts w:ascii="Arial" w:hAnsi="Arial" w:cs="Arial" w:hint="eastAsia"/>
                <w:b/>
                <w:bCs/>
                <w:sz w:val="16"/>
                <w:szCs w:val="16"/>
              </w:rPr>
              <w:t xml:space="preserve"> Delayed-Release Tablets</w:t>
            </w:r>
          </w:p>
        </w:tc>
      </w:tr>
      <w:tr w:rsidR="00553694" w:rsidRPr="007153D2" w:rsidTr="005B12BA">
        <w:trPr>
          <w:tblHeader/>
        </w:trPr>
        <w:tc>
          <w:tcPr>
            <w:tcW w:w="1594" w:type="pct"/>
            <w:tcBorders>
              <w:bottom w:val="single" w:sz="6" w:space="0" w:color="auto"/>
            </w:tcBorders>
            <w:hideMark/>
          </w:tcPr>
          <w:p w:rsidR="00553694" w:rsidRPr="005859DA" w:rsidRDefault="00553694" w:rsidP="00553694">
            <w:pPr>
              <w:pStyle w:val="ListParagraph"/>
              <w:ind w:left="1080"/>
              <w:rPr>
                <w:rFonts w:ascii="Arial" w:hAnsi="Arial" w:cs="Arial"/>
                <w:b/>
                <w:bCs/>
                <w:sz w:val="16"/>
                <w:szCs w:val="16"/>
              </w:rPr>
            </w:pPr>
            <w:r w:rsidRPr="005859DA">
              <w:rPr>
                <w:rFonts w:ascii="Arial" w:hAnsi="Arial" w:cs="Arial" w:hint="eastAsia"/>
                <w:b/>
                <w:bCs/>
                <w:sz w:val="16"/>
                <w:szCs w:val="16"/>
              </w:rPr>
              <w:t>Indication</w:t>
            </w:r>
          </w:p>
        </w:tc>
        <w:tc>
          <w:tcPr>
            <w:tcW w:w="3406" w:type="pct"/>
            <w:tcBorders>
              <w:bottom w:val="single" w:sz="6" w:space="0" w:color="auto"/>
            </w:tcBorders>
            <w:hideMark/>
          </w:tcPr>
          <w:p w:rsidR="00553694" w:rsidRPr="005859DA" w:rsidRDefault="00553694" w:rsidP="00553694">
            <w:pPr>
              <w:pStyle w:val="ListParagraph"/>
              <w:ind w:left="1080"/>
              <w:rPr>
                <w:rFonts w:ascii="Arial" w:hAnsi="Arial" w:cs="Arial"/>
                <w:b/>
                <w:bCs/>
                <w:sz w:val="16"/>
                <w:szCs w:val="16"/>
              </w:rPr>
            </w:pPr>
            <w:r w:rsidRPr="005859DA">
              <w:rPr>
                <w:rFonts w:ascii="Arial" w:hAnsi="Arial" w:cs="Arial" w:hint="eastAsia"/>
                <w:b/>
                <w:bCs/>
                <w:sz w:val="16"/>
                <w:szCs w:val="16"/>
              </w:rPr>
              <w:t>Dose and Duration of Therapy</w:t>
            </w:r>
          </w:p>
        </w:tc>
      </w:tr>
      <w:tr w:rsidR="008261D6" w:rsidRPr="007153D2" w:rsidTr="005B12BA">
        <w:tc>
          <w:tcPr>
            <w:tcW w:w="1594" w:type="pct"/>
            <w:vMerge w:val="restart"/>
            <w:tcBorders>
              <w:top w:val="single" w:sz="6" w:space="0" w:color="auto"/>
            </w:tcBorders>
            <w:hideMark/>
          </w:tcPr>
          <w:p w:rsidR="008261D6" w:rsidRPr="005859DA" w:rsidRDefault="008261D6" w:rsidP="005859DA">
            <w:pPr>
              <w:rPr>
                <w:rFonts w:ascii="Arial" w:hAnsi="Arial" w:cs="Arial"/>
                <w:bCs/>
                <w:sz w:val="16"/>
                <w:szCs w:val="16"/>
              </w:rPr>
            </w:pPr>
            <w:r w:rsidRPr="005859DA">
              <w:rPr>
                <w:rFonts w:ascii="Arial" w:hAnsi="Arial" w:cs="Arial" w:hint="eastAsia"/>
                <w:bCs/>
                <w:sz w:val="16"/>
                <w:szCs w:val="16"/>
              </w:rPr>
              <w:t xml:space="preserve">Prophylaxis of invasive </w:t>
            </w:r>
            <w:r w:rsidRPr="005859DA">
              <w:rPr>
                <w:rFonts w:ascii="Arial" w:hAnsi="Arial" w:cs="Arial" w:hint="eastAsia"/>
                <w:bCs/>
                <w:i/>
                <w:iCs/>
                <w:sz w:val="16"/>
                <w:szCs w:val="16"/>
              </w:rPr>
              <w:t>Aspergillus</w:t>
            </w:r>
            <w:r w:rsidRPr="005859DA">
              <w:rPr>
                <w:rFonts w:ascii="Arial" w:hAnsi="Arial" w:cs="Arial" w:hint="eastAsia"/>
                <w:bCs/>
                <w:sz w:val="16"/>
                <w:szCs w:val="16"/>
              </w:rPr>
              <w:t xml:space="preserve"> and </w:t>
            </w:r>
            <w:r w:rsidRPr="005859DA">
              <w:rPr>
                <w:rFonts w:ascii="Arial" w:hAnsi="Arial" w:cs="Arial" w:hint="eastAsia"/>
                <w:bCs/>
                <w:i/>
                <w:iCs/>
                <w:sz w:val="16"/>
                <w:szCs w:val="16"/>
              </w:rPr>
              <w:t xml:space="preserve">Candida </w:t>
            </w:r>
            <w:r w:rsidRPr="005859DA">
              <w:rPr>
                <w:rFonts w:ascii="Arial" w:hAnsi="Arial" w:cs="Arial" w:hint="eastAsia"/>
                <w:bCs/>
                <w:sz w:val="16"/>
                <w:szCs w:val="16"/>
              </w:rPr>
              <w:t>infections</w:t>
            </w:r>
          </w:p>
        </w:tc>
        <w:tc>
          <w:tcPr>
            <w:tcW w:w="3406" w:type="pct"/>
            <w:tcBorders>
              <w:top w:val="single" w:sz="6" w:space="0" w:color="auto"/>
              <w:bottom w:val="nil"/>
            </w:tcBorders>
            <w:hideMark/>
          </w:tcPr>
          <w:p w:rsidR="008261D6" w:rsidRPr="005859DA" w:rsidRDefault="008261D6" w:rsidP="005859DA">
            <w:pPr>
              <w:rPr>
                <w:rFonts w:ascii="Arial" w:hAnsi="Arial" w:cs="Arial"/>
                <w:bCs/>
                <w:sz w:val="16"/>
                <w:szCs w:val="16"/>
              </w:rPr>
            </w:pPr>
            <w:r w:rsidRPr="005859DA">
              <w:rPr>
                <w:rFonts w:ascii="Arial" w:hAnsi="Arial" w:cs="Arial" w:hint="eastAsia"/>
                <w:bCs/>
                <w:sz w:val="16"/>
                <w:szCs w:val="16"/>
                <w:u w:val="single"/>
              </w:rPr>
              <w:t>Loading dose:</w:t>
            </w:r>
            <w:r w:rsidRPr="005859DA">
              <w:rPr>
                <w:rFonts w:ascii="Arial" w:hAnsi="Arial" w:cs="Arial" w:hint="eastAsia"/>
                <w:bCs/>
                <w:sz w:val="16"/>
                <w:szCs w:val="16"/>
              </w:rPr>
              <w:t xml:space="preserve"> 300 mg (three 100 mg delayed-release tablets) twice a day on the first day.</w:t>
            </w:r>
          </w:p>
        </w:tc>
      </w:tr>
      <w:tr w:rsidR="008261D6" w:rsidRPr="007153D2" w:rsidTr="005B12BA">
        <w:trPr>
          <w:trHeight w:val="336"/>
        </w:trPr>
        <w:tc>
          <w:tcPr>
            <w:tcW w:w="1594" w:type="pct"/>
            <w:vMerge/>
            <w:tcBorders>
              <w:bottom w:val="single" w:sz="24" w:space="0" w:color="auto"/>
            </w:tcBorders>
            <w:hideMark/>
          </w:tcPr>
          <w:p w:rsidR="008261D6" w:rsidRPr="005859DA" w:rsidRDefault="008261D6" w:rsidP="00553694">
            <w:pPr>
              <w:pStyle w:val="ListParagraph"/>
              <w:ind w:left="1080"/>
              <w:rPr>
                <w:rFonts w:ascii="Arial" w:hAnsi="Arial" w:cs="Arial"/>
                <w:bCs/>
                <w:sz w:val="16"/>
                <w:szCs w:val="16"/>
              </w:rPr>
            </w:pPr>
          </w:p>
        </w:tc>
        <w:tc>
          <w:tcPr>
            <w:tcW w:w="3406" w:type="pct"/>
            <w:tcBorders>
              <w:top w:val="nil"/>
              <w:bottom w:val="single" w:sz="24" w:space="0" w:color="auto"/>
            </w:tcBorders>
            <w:hideMark/>
          </w:tcPr>
          <w:p w:rsidR="008261D6" w:rsidRPr="005859DA" w:rsidRDefault="008261D6" w:rsidP="005859DA">
            <w:pPr>
              <w:rPr>
                <w:rFonts w:ascii="Arial" w:hAnsi="Arial" w:cs="Arial"/>
                <w:bCs/>
                <w:sz w:val="16"/>
                <w:szCs w:val="16"/>
              </w:rPr>
            </w:pPr>
            <w:r w:rsidRPr="005859DA">
              <w:rPr>
                <w:rFonts w:ascii="Arial" w:hAnsi="Arial" w:cs="Arial" w:hint="eastAsia"/>
                <w:bCs/>
                <w:sz w:val="16"/>
                <w:szCs w:val="16"/>
                <w:u w:val="single"/>
              </w:rPr>
              <w:t>Maintenance dose</w:t>
            </w:r>
            <w:r w:rsidRPr="005859DA">
              <w:rPr>
                <w:rFonts w:ascii="Arial" w:hAnsi="Arial" w:cs="Arial" w:hint="eastAsia"/>
                <w:bCs/>
                <w:sz w:val="16"/>
                <w:szCs w:val="16"/>
              </w:rPr>
              <w:t>: 300 mg (three 100 mg delayed-release tablets) once a day, starting on the second day. Duration of therapy is based on recovery from neutropenia or immunosuppression.</w:t>
            </w:r>
          </w:p>
        </w:tc>
      </w:tr>
    </w:tbl>
    <w:p w:rsidR="005859DA" w:rsidRDefault="005859DA" w:rsidP="00553694">
      <w:pPr>
        <w:pStyle w:val="ListParagraph"/>
        <w:ind w:left="1080"/>
        <w:rPr>
          <w:rFonts w:ascii="Arial" w:hAnsi="Arial" w:cs="Arial"/>
          <w:sz w:val="18"/>
          <w:szCs w:val="18"/>
        </w:rPr>
      </w:pPr>
    </w:p>
    <w:p w:rsidR="00553694" w:rsidRDefault="00553694" w:rsidP="00553694">
      <w:pPr>
        <w:pStyle w:val="ListParagraph"/>
        <w:ind w:left="1080"/>
        <w:rPr>
          <w:rFonts w:ascii="Arial" w:hAnsi="Arial" w:cs="Arial"/>
          <w:sz w:val="18"/>
          <w:szCs w:val="18"/>
        </w:rPr>
      </w:pPr>
      <w:r w:rsidRPr="00464DAF">
        <w:rPr>
          <w:rFonts w:ascii="Arial" w:hAnsi="Arial" w:cs="Arial"/>
          <w:sz w:val="18"/>
          <w:szCs w:val="18"/>
        </w:rPr>
        <w:lastRenderedPageBreak/>
        <w:t xml:space="preserve">Manual Review PA will be required for all requests for </w:t>
      </w:r>
      <w:r>
        <w:rPr>
          <w:rFonts w:ascii="Arial" w:hAnsi="Arial" w:cs="Arial"/>
          <w:bCs/>
          <w:sz w:val="18"/>
          <w:szCs w:val="18"/>
        </w:rPr>
        <w:t>Noxafil</w:t>
      </w:r>
      <w:r w:rsidR="009408F8">
        <w:rPr>
          <w:rFonts w:ascii="Arial" w:hAnsi="Arial" w:cs="Arial"/>
          <w:bCs/>
          <w:sz w:val="18"/>
          <w:szCs w:val="18"/>
        </w:rPr>
        <w:t>®</w:t>
      </w:r>
      <w:r>
        <w:rPr>
          <w:rFonts w:ascii="Arial" w:hAnsi="Arial" w:cs="Arial"/>
          <w:bCs/>
          <w:sz w:val="18"/>
          <w:szCs w:val="18"/>
        </w:rPr>
        <w:t xml:space="preserve"> DR 100 mg tablet and the Noxafil</w:t>
      </w:r>
      <w:r w:rsidR="009408F8">
        <w:rPr>
          <w:rFonts w:ascii="Arial" w:hAnsi="Arial" w:cs="Arial"/>
          <w:bCs/>
          <w:sz w:val="18"/>
          <w:szCs w:val="18"/>
        </w:rPr>
        <w:t>®</w:t>
      </w:r>
      <w:r>
        <w:rPr>
          <w:rFonts w:ascii="Arial" w:hAnsi="Arial" w:cs="Arial"/>
          <w:bCs/>
          <w:sz w:val="18"/>
          <w:szCs w:val="18"/>
        </w:rPr>
        <w:t xml:space="preserve"> 300 mg vial </w:t>
      </w:r>
      <w:r w:rsidRPr="00464DAF">
        <w:rPr>
          <w:rFonts w:ascii="Arial" w:hAnsi="Arial" w:cs="Arial"/>
          <w:sz w:val="18"/>
          <w:szCs w:val="18"/>
        </w:rPr>
        <w:t>and will be rev</w:t>
      </w:r>
      <w:r w:rsidR="00DE75B6">
        <w:rPr>
          <w:rFonts w:ascii="Arial" w:hAnsi="Arial" w:cs="Arial"/>
          <w:sz w:val="18"/>
          <w:szCs w:val="18"/>
        </w:rPr>
        <w:t>iewed on a case-by-case basis.</w:t>
      </w:r>
    </w:p>
    <w:p w:rsidR="00553694" w:rsidRDefault="00553694" w:rsidP="00553694">
      <w:pPr>
        <w:rPr>
          <w:rFonts w:ascii="Arial" w:hAnsi="Arial" w:cs="Arial"/>
          <w:sz w:val="18"/>
          <w:szCs w:val="18"/>
        </w:rPr>
      </w:pPr>
    </w:p>
    <w:p w:rsidR="00553694" w:rsidRDefault="00553694" w:rsidP="00553694">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106443">
        <w:rPr>
          <w:rFonts w:ascii="Arial" w:hAnsi="Arial" w:cs="Arial"/>
          <w:b/>
          <w:sz w:val="18"/>
          <w:szCs w:val="18"/>
        </w:rPr>
        <w:t>.</w:t>
      </w:r>
    </w:p>
    <w:p w:rsidR="005B12BA" w:rsidRDefault="005B12BA" w:rsidP="00553694">
      <w:pPr>
        <w:pStyle w:val="ListParagraph"/>
        <w:tabs>
          <w:tab w:val="left" w:pos="1095"/>
        </w:tabs>
        <w:ind w:left="1080"/>
        <w:rPr>
          <w:rFonts w:ascii="Arial" w:hAnsi="Arial" w:cs="Arial"/>
          <w:b/>
          <w:sz w:val="18"/>
          <w:szCs w:val="18"/>
        </w:rPr>
      </w:pPr>
    </w:p>
    <w:p w:rsidR="00547FCD" w:rsidRPr="006F33E6" w:rsidRDefault="00547FCD" w:rsidP="001470D2">
      <w:pPr>
        <w:pStyle w:val="ListParagraph"/>
        <w:numPr>
          <w:ilvl w:val="1"/>
          <w:numId w:val="6"/>
        </w:numPr>
        <w:rPr>
          <w:rFonts w:ascii="Arial" w:hAnsi="Arial" w:cs="Arial"/>
          <w:sz w:val="18"/>
          <w:szCs w:val="18"/>
        </w:rPr>
      </w:pPr>
      <w:r w:rsidRPr="006F33E6">
        <w:rPr>
          <w:rFonts w:ascii="Arial" w:hAnsi="Arial" w:cs="Arial"/>
          <w:b/>
          <w:sz w:val="18"/>
          <w:szCs w:val="18"/>
          <w:u w:val="single"/>
        </w:rPr>
        <w:t>Otrexup® (methotrexate) auto in</w:t>
      </w:r>
      <w:r w:rsidR="00106443">
        <w:rPr>
          <w:rFonts w:ascii="Arial" w:hAnsi="Arial" w:cs="Arial"/>
          <w:b/>
          <w:sz w:val="18"/>
          <w:szCs w:val="18"/>
          <w:u w:val="single"/>
        </w:rPr>
        <w:t>j. 10 mg, 15 mg, 20 mg, 25 mg:</w:t>
      </w:r>
      <w:r w:rsidR="00106443" w:rsidRPr="00A054A4">
        <w:rPr>
          <w:rFonts w:ascii="Arial" w:hAnsi="Arial" w:cs="Arial"/>
          <w:b/>
          <w:sz w:val="18"/>
          <w:szCs w:val="18"/>
        </w:rPr>
        <w:t xml:space="preserve"> </w:t>
      </w:r>
      <w:r w:rsidRPr="006F33E6">
        <w:rPr>
          <w:rFonts w:ascii="Arial" w:hAnsi="Arial" w:cs="Arial"/>
          <w:sz w:val="18"/>
          <w:szCs w:val="18"/>
        </w:rPr>
        <w:t>Otrexup</w:t>
      </w:r>
      <w:r w:rsidR="00274935">
        <w:rPr>
          <w:rFonts w:ascii="Arial" w:hAnsi="Arial" w:cs="Arial"/>
          <w:sz w:val="18"/>
          <w:szCs w:val="18"/>
        </w:rPr>
        <w:t>®</w:t>
      </w:r>
      <w:r w:rsidRPr="006F33E6">
        <w:rPr>
          <w:rFonts w:ascii="Arial" w:hAnsi="Arial" w:cs="Arial"/>
          <w:sz w:val="18"/>
          <w:szCs w:val="18"/>
        </w:rPr>
        <w:t xml:space="preserve"> is a folate analog metabolic inhibitor indicated for the management of patients with severe, active rheumatoid arthritis (RA) and polyarticular juvenile idiopathic arthritis (pJIA), who are intolerant of or had an inadequate response to first-line therapy, </w:t>
      </w:r>
      <w:r w:rsidR="006F33E6" w:rsidRPr="006F33E6">
        <w:rPr>
          <w:rFonts w:ascii="Arial" w:hAnsi="Arial" w:cs="Arial"/>
          <w:sz w:val="18"/>
          <w:szCs w:val="18"/>
        </w:rPr>
        <w:t>and symptomatic</w:t>
      </w:r>
      <w:r w:rsidRPr="006F33E6">
        <w:rPr>
          <w:rFonts w:ascii="Arial" w:hAnsi="Arial" w:cs="Arial"/>
          <w:sz w:val="18"/>
          <w:szCs w:val="18"/>
        </w:rPr>
        <w:t xml:space="preserve"> control of severe, recalcitrant, disabling psoriasis in adults who are not adequately responsive to other forms of therapy.</w:t>
      </w:r>
      <w:r w:rsidR="008261D6">
        <w:rPr>
          <w:rFonts w:ascii="Arial" w:hAnsi="Arial" w:cs="Arial"/>
          <w:sz w:val="18"/>
          <w:szCs w:val="18"/>
        </w:rPr>
        <w:t xml:space="preserve"> </w:t>
      </w:r>
      <w:r w:rsidR="001470D2" w:rsidRPr="001470D2">
        <w:rPr>
          <w:rFonts w:ascii="Arial" w:hAnsi="Arial" w:cs="Arial"/>
          <w:sz w:val="18"/>
          <w:szCs w:val="18"/>
        </w:rPr>
        <w:t>Otrexup</w:t>
      </w:r>
      <w:r w:rsidR="00DD08A6">
        <w:rPr>
          <w:rFonts w:ascii="Arial" w:hAnsi="Arial" w:cs="Arial"/>
          <w:sz w:val="18"/>
          <w:szCs w:val="18"/>
        </w:rPr>
        <w:t>®</w:t>
      </w:r>
      <w:r w:rsidR="001470D2" w:rsidRPr="001470D2">
        <w:rPr>
          <w:rFonts w:ascii="Arial" w:hAnsi="Arial" w:cs="Arial"/>
          <w:sz w:val="18"/>
          <w:szCs w:val="18"/>
        </w:rPr>
        <w:t xml:space="preserve"> is for once weekly subcutaneous use only.</w:t>
      </w:r>
      <w:r w:rsidR="001470D2">
        <w:rPr>
          <w:rFonts w:ascii="Arial" w:hAnsi="Arial" w:cs="Arial"/>
          <w:sz w:val="18"/>
          <w:szCs w:val="18"/>
        </w:rPr>
        <w:t xml:space="preserve"> </w:t>
      </w:r>
      <w:r w:rsidRPr="006F33E6">
        <w:rPr>
          <w:rFonts w:ascii="Arial" w:hAnsi="Arial" w:cs="Arial"/>
          <w:sz w:val="18"/>
          <w:szCs w:val="18"/>
        </w:rPr>
        <w:t>Otrexup</w:t>
      </w:r>
      <w:r w:rsidR="00274935">
        <w:rPr>
          <w:rFonts w:ascii="Arial" w:hAnsi="Arial" w:cs="Arial"/>
          <w:sz w:val="18"/>
          <w:szCs w:val="18"/>
        </w:rPr>
        <w:t>®</w:t>
      </w:r>
      <w:r w:rsidRPr="006F33E6">
        <w:rPr>
          <w:rFonts w:ascii="Arial" w:hAnsi="Arial" w:cs="Arial"/>
          <w:sz w:val="18"/>
          <w:szCs w:val="18"/>
        </w:rPr>
        <w:t xml:space="preserve"> is not indicated for the treatment of neoplastic diseases.</w:t>
      </w:r>
    </w:p>
    <w:p w:rsidR="00547FCD" w:rsidRPr="00547FCD" w:rsidRDefault="00547FCD" w:rsidP="00547FCD">
      <w:pPr>
        <w:pStyle w:val="ListParagraph"/>
        <w:ind w:left="1440"/>
        <w:rPr>
          <w:rFonts w:ascii="Arial" w:hAnsi="Arial" w:cs="Arial"/>
          <w:sz w:val="18"/>
          <w:szCs w:val="18"/>
        </w:rPr>
      </w:pPr>
    </w:p>
    <w:p w:rsidR="002A120A" w:rsidRDefault="006F33E6" w:rsidP="00547FCD">
      <w:pPr>
        <w:pStyle w:val="ListParagraph"/>
        <w:ind w:left="1440"/>
        <w:rPr>
          <w:rFonts w:ascii="Arial" w:hAnsi="Arial" w:cs="Arial"/>
          <w:sz w:val="18"/>
          <w:szCs w:val="18"/>
        </w:rPr>
      </w:pPr>
      <w:r>
        <w:rPr>
          <w:rFonts w:ascii="Arial" w:hAnsi="Arial" w:cs="Arial"/>
          <w:sz w:val="18"/>
          <w:szCs w:val="18"/>
        </w:rPr>
        <w:t>The reimbursement rate for</w:t>
      </w:r>
      <w:r w:rsidR="00062A09">
        <w:rPr>
          <w:rFonts w:ascii="Arial" w:hAnsi="Arial" w:cs="Arial"/>
          <w:sz w:val="18"/>
          <w:szCs w:val="18"/>
        </w:rPr>
        <w:t xml:space="preserve"> Otrexup</w:t>
      </w:r>
      <w:r w:rsidR="00274935">
        <w:rPr>
          <w:rFonts w:ascii="Arial" w:hAnsi="Arial" w:cs="Arial"/>
          <w:sz w:val="18"/>
          <w:szCs w:val="18"/>
        </w:rPr>
        <w:t>®</w:t>
      </w:r>
      <w:r w:rsidR="00062A09">
        <w:rPr>
          <w:rFonts w:ascii="Arial" w:hAnsi="Arial" w:cs="Arial"/>
          <w:sz w:val="18"/>
          <w:szCs w:val="18"/>
        </w:rPr>
        <w:t xml:space="preserve"> auto inj. </w:t>
      </w:r>
      <w:r w:rsidR="00A054A4">
        <w:rPr>
          <w:rFonts w:ascii="Arial" w:hAnsi="Arial" w:cs="Arial"/>
          <w:sz w:val="18"/>
          <w:szCs w:val="18"/>
        </w:rPr>
        <w:t>0.4 ml syringe is $142.58.</w:t>
      </w:r>
    </w:p>
    <w:p w:rsidR="00274935" w:rsidRDefault="00274935" w:rsidP="00547FCD">
      <w:pPr>
        <w:pStyle w:val="ListParagraph"/>
        <w:ind w:left="1440"/>
        <w:rPr>
          <w:rFonts w:ascii="Arial" w:hAnsi="Arial" w:cs="Arial"/>
          <w:sz w:val="18"/>
          <w:szCs w:val="18"/>
        </w:rPr>
      </w:pPr>
    </w:p>
    <w:p w:rsidR="00062A09" w:rsidRDefault="00062A09" w:rsidP="00547FCD">
      <w:pPr>
        <w:pStyle w:val="ListParagraph"/>
        <w:ind w:left="1440"/>
        <w:rPr>
          <w:rFonts w:ascii="Arial" w:hAnsi="Arial" w:cs="Arial"/>
          <w:sz w:val="18"/>
          <w:szCs w:val="18"/>
        </w:rPr>
      </w:pPr>
      <w:r>
        <w:rPr>
          <w:rFonts w:ascii="Arial" w:hAnsi="Arial" w:cs="Arial"/>
          <w:sz w:val="18"/>
          <w:szCs w:val="18"/>
        </w:rPr>
        <w:t>The reimbursement rate for methotrexate 25 mg/ml vials range</w:t>
      </w:r>
      <w:r w:rsidR="002A120A">
        <w:rPr>
          <w:rFonts w:ascii="Arial" w:hAnsi="Arial" w:cs="Arial"/>
          <w:sz w:val="18"/>
          <w:szCs w:val="18"/>
        </w:rPr>
        <w:t>s</w:t>
      </w:r>
      <w:r>
        <w:rPr>
          <w:rFonts w:ascii="Arial" w:hAnsi="Arial" w:cs="Arial"/>
          <w:sz w:val="18"/>
          <w:szCs w:val="18"/>
        </w:rPr>
        <w:t xml:space="preserve"> from </w:t>
      </w:r>
      <w:r w:rsidR="00DD08A6">
        <w:rPr>
          <w:rFonts w:ascii="Arial" w:hAnsi="Arial" w:cs="Arial"/>
          <w:sz w:val="18"/>
          <w:szCs w:val="18"/>
        </w:rPr>
        <w:t xml:space="preserve">about </w:t>
      </w:r>
      <w:r w:rsidR="00274935">
        <w:rPr>
          <w:rFonts w:ascii="Arial" w:hAnsi="Arial" w:cs="Arial"/>
          <w:sz w:val="18"/>
          <w:szCs w:val="18"/>
        </w:rPr>
        <w:t xml:space="preserve">$0.80 per ml to </w:t>
      </w:r>
      <w:r w:rsidR="00DD08A6">
        <w:rPr>
          <w:rFonts w:ascii="Arial" w:hAnsi="Arial" w:cs="Arial"/>
          <w:sz w:val="18"/>
          <w:szCs w:val="18"/>
        </w:rPr>
        <w:t xml:space="preserve">about </w:t>
      </w:r>
      <w:r>
        <w:rPr>
          <w:rFonts w:ascii="Arial" w:hAnsi="Arial" w:cs="Arial"/>
          <w:sz w:val="18"/>
          <w:szCs w:val="18"/>
        </w:rPr>
        <w:t>$1.92 per ml</w:t>
      </w:r>
      <w:r w:rsidR="00274935">
        <w:rPr>
          <w:rFonts w:ascii="Arial" w:hAnsi="Arial" w:cs="Arial"/>
          <w:sz w:val="18"/>
          <w:szCs w:val="18"/>
        </w:rPr>
        <w:t>.</w:t>
      </w:r>
    </w:p>
    <w:p w:rsidR="00274935" w:rsidRDefault="00274935" w:rsidP="00547FCD">
      <w:pPr>
        <w:pStyle w:val="ListParagraph"/>
        <w:ind w:left="1440"/>
        <w:rPr>
          <w:rFonts w:ascii="Arial" w:hAnsi="Arial" w:cs="Arial"/>
          <w:sz w:val="18"/>
          <w:szCs w:val="18"/>
        </w:rPr>
      </w:pPr>
    </w:p>
    <w:p w:rsidR="002A120A" w:rsidRDefault="00062A09" w:rsidP="00062A09">
      <w:pPr>
        <w:pStyle w:val="ListParagraph"/>
        <w:ind w:left="1080"/>
        <w:rPr>
          <w:rFonts w:ascii="Arial" w:hAnsi="Arial" w:cs="Arial"/>
          <w:sz w:val="18"/>
          <w:szCs w:val="18"/>
        </w:rPr>
      </w:pPr>
      <w:r w:rsidRPr="00464DAF">
        <w:rPr>
          <w:rFonts w:ascii="Arial" w:hAnsi="Arial" w:cs="Arial"/>
          <w:sz w:val="18"/>
          <w:szCs w:val="18"/>
        </w:rPr>
        <w:t xml:space="preserve">Manual Review PA will be required for all requests for </w:t>
      </w:r>
      <w:r>
        <w:rPr>
          <w:rFonts w:ascii="Arial" w:hAnsi="Arial" w:cs="Arial"/>
          <w:sz w:val="18"/>
          <w:szCs w:val="18"/>
        </w:rPr>
        <w:t>Otrexup</w:t>
      </w:r>
      <w:r w:rsidR="00274935">
        <w:rPr>
          <w:rFonts w:ascii="Arial" w:hAnsi="Arial" w:cs="Arial"/>
          <w:sz w:val="18"/>
          <w:szCs w:val="18"/>
        </w:rPr>
        <w:t>®</w:t>
      </w:r>
      <w:r>
        <w:rPr>
          <w:rFonts w:ascii="Arial" w:hAnsi="Arial" w:cs="Arial"/>
          <w:sz w:val="18"/>
          <w:szCs w:val="18"/>
        </w:rPr>
        <w:t xml:space="preserve"> auto inj. syringes </w:t>
      </w:r>
      <w:r w:rsidRPr="00464DAF">
        <w:rPr>
          <w:rFonts w:ascii="Arial" w:hAnsi="Arial" w:cs="Arial"/>
          <w:sz w:val="18"/>
          <w:szCs w:val="18"/>
        </w:rPr>
        <w:t>and will be revie</w:t>
      </w:r>
      <w:r w:rsidR="00A054A4">
        <w:rPr>
          <w:rFonts w:ascii="Arial" w:hAnsi="Arial" w:cs="Arial"/>
          <w:sz w:val="18"/>
          <w:szCs w:val="18"/>
        </w:rPr>
        <w:t>wed on a case-by-case basis.</w:t>
      </w:r>
      <w:r w:rsidRPr="00464DAF">
        <w:rPr>
          <w:rFonts w:ascii="Arial" w:hAnsi="Arial" w:cs="Arial"/>
          <w:sz w:val="18"/>
          <w:szCs w:val="18"/>
        </w:rPr>
        <w:t xml:space="preserve"> </w:t>
      </w:r>
      <w:r w:rsidR="001470D2">
        <w:rPr>
          <w:rFonts w:ascii="Arial" w:hAnsi="Arial" w:cs="Arial"/>
          <w:sz w:val="18"/>
          <w:szCs w:val="18"/>
        </w:rPr>
        <w:t>In addition, Otrexup</w:t>
      </w:r>
      <w:r w:rsidR="00274935">
        <w:rPr>
          <w:rFonts w:ascii="Arial" w:hAnsi="Arial" w:cs="Arial"/>
          <w:sz w:val="18"/>
          <w:szCs w:val="18"/>
        </w:rPr>
        <w:t>®</w:t>
      </w:r>
      <w:r w:rsidR="001470D2">
        <w:rPr>
          <w:rFonts w:ascii="Arial" w:hAnsi="Arial" w:cs="Arial"/>
          <w:sz w:val="18"/>
          <w:szCs w:val="18"/>
        </w:rPr>
        <w:t xml:space="preserve"> has a </w:t>
      </w:r>
      <w:r w:rsidR="001470D2" w:rsidRPr="001470D2">
        <w:rPr>
          <w:rFonts w:ascii="Arial" w:hAnsi="Arial" w:cs="Arial"/>
          <w:sz w:val="18"/>
          <w:szCs w:val="18"/>
        </w:rPr>
        <w:t xml:space="preserve">maximum </w:t>
      </w:r>
      <w:r w:rsidR="001470D2">
        <w:rPr>
          <w:rFonts w:ascii="Arial" w:hAnsi="Arial" w:cs="Arial"/>
          <w:sz w:val="18"/>
          <w:szCs w:val="18"/>
        </w:rPr>
        <w:t xml:space="preserve">quantity </w:t>
      </w:r>
      <w:r w:rsidR="001470D2" w:rsidRPr="001470D2">
        <w:rPr>
          <w:rFonts w:ascii="Arial" w:hAnsi="Arial" w:cs="Arial"/>
          <w:sz w:val="18"/>
          <w:szCs w:val="18"/>
        </w:rPr>
        <w:t xml:space="preserve">of 4 syringes per month for </w:t>
      </w:r>
      <w:r w:rsidR="001470D2">
        <w:rPr>
          <w:rFonts w:ascii="Arial" w:hAnsi="Arial" w:cs="Arial"/>
          <w:sz w:val="18"/>
          <w:szCs w:val="18"/>
        </w:rPr>
        <w:t xml:space="preserve">all </w:t>
      </w:r>
      <w:r w:rsidR="001470D2" w:rsidRPr="001470D2">
        <w:rPr>
          <w:rFonts w:ascii="Arial" w:hAnsi="Arial" w:cs="Arial"/>
          <w:sz w:val="18"/>
          <w:szCs w:val="18"/>
        </w:rPr>
        <w:t>strengths</w:t>
      </w:r>
      <w:r w:rsidR="001470D2">
        <w:rPr>
          <w:rFonts w:ascii="Arial" w:hAnsi="Arial" w:cs="Arial"/>
          <w:sz w:val="18"/>
          <w:szCs w:val="18"/>
        </w:rPr>
        <w:t xml:space="preserve"> </w:t>
      </w:r>
      <w:r w:rsidR="001470D2" w:rsidRPr="001470D2">
        <w:rPr>
          <w:rFonts w:ascii="Arial" w:hAnsi="Arial" w:cs="Arial"/>
          <w:sz w:val="18"/>
          <w:szCs w:val="18"/>
        </w:rPr>
        <w:t xml:space="preserve">(10 mg, 15 mg, 20 mg, </w:t>
      </w:r>
      <w:r w:rsidR="00DD08A6" w:rsidRPr="001470D2">
        <w:rPr>
          <w:rFonts w:ascii="Arial" w:hAnsi="Arial" w:cs="Arial"/>
          <w:sz w:val="18"/>
          <w:szCs w:val="18"/>
        </w:rPr>
        <w:t>and 25</w:t>
      </w:r>
      <w:r w:rsidR="001470D2" w:rsidRPr="001470D2">
        <w:rPr>
          <w:rFonts w:ascii="Arial" w:hAnsi="Arial" w:cs="Arial"/>
          <w:sz w:val="18"/>
          <w:szCs w:val="18"/>
        </w:rPr>
        <w:t xml:space="preserve"> mg).</w:t>
      </w:r>
    </w:p>
    <w:p w:rsidR="00274935" w:rsidRDefault="00274935" w:rsidP="00062A09">
      <w:pPr>
        <w:pStyle w:val="ListParagraph"/>
        <w:ind w:left="1080"/>
        <w:rPr>
          <w:rFonts w:ascii="Arial" w:hAnsi="Arial" w:cs="Arial"/>
          <w:sz w:val="18"/>
          <w:szCs w:val="18"/>
        </w:rPr>
      </w:pPr>
    </w:p>
    <w:p w:rsidR="00062A09" w:rsidRDefault="001470D2" w:rsidP="00062A09">
      <w:pPr>
        <w:pStyle w:val="ListParagraph"/>
        <w:ind w:left="1080"/>
        <w:rPr>
          <w:rFonts w:ascii="Arial" w:hAnsi="Arial" w:cs="Arial"/>
          <w:bCs/>
          <w:sz w:val="18"/>
          <w:szCs w:val="18"/>
        </w:rPr>
      </w:pPr>
      <w:r>
        <w:rPr>
          <w:rFonts w:ascii="Arial" w:hAnsi="Arial" w:cs="Arial"/>
          <w:sz w:val="18"/>
          <w:szCs w:val="18"/>
        </w:rPr>
        <w:t>Methotrexate 25 mg/ml vials do not require a PA.</w:t>
      </w:r>
    </w:p>
    <w:p w:rsidR="00547FCD" w:rsidRPr="00547FCD" w:rsidRDefault="00547FCD" w:rsidP="00547FCD">
      <w:pPr>
        <w:pStyle w:val="ListParagraph"/>
        <w:ind w:left="1440"/>
        <w:rPr>
          <w:rFonts w:ascii="Arial" w:hAnsi="Arial" w:cs="Arial"/>
          <w:b/>
          <w:sz w:val="18"/>
          <w:szCs w:val="18"/>
          <w:u w:val="single"/>
        </w:rPr>
      </w:pPr>
    </w:p>
    <w:p w:rsidR="00062A09" w:rsidRDefault="00062A09" w:rsidP="00062A09">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A054A4">
        <w:rPr>
          <w:rFonts w:ascii="Arial" w:hAnsi="Arial" w:cs="Arial"/>
          <w:b/>
          <w:sz w:val="18"/>
          <w:szCs w:val="18"/>
        </w:rPr>
        <w:t>.</w:t>
      </w:r>
    </w:p>
    <w:p w:rsidR="001470D2" w:rsidRDefault="001470D2" w:rsidP="00062A09">
      <w:pPr>
        <w:pStyle w:val="ListParagraph"/>
        <w:tabs>
          <w:tab w:val="left" w:pos="1095"/>
        </w:tabs>
        <w:ind w:left="1080"/>
        <w:rPr>
          <w:rFonts w:ascii="Arial" w:hAnsi="Arial" w:cs="Arial"/>
          <w:b/>
          <w:sz w:val="18"/>
          <w:szCs w:val="18"/>
        </w:rPr>
      </w:pPr>
    </w:p>
    <w:p w:rsidR="001470D2" w:rsidRDefault="001470D2" w:rsidP="00EC7FE8">
      <w:pPr>
        <w:pStyle w:val="ListParagraph"/>
        <w:numPr>
          <w:ilvl w:val="1"/>
          <w:numId w:val="6"/>
        </w:numPr>
        <w:tabs>
          <w:tab w:val="left" w:pos="1095"/>
        </w:tabs>
        <w:rPr>
          <w:rFonts w:ascii="Arial" w:hAnsi="Arial" w:cs="Arial"/>
          <w:sz w:val="18"/>
          <w:szCs w:val="18"/>
        </w:rPr>
      </w:pPr>
      <w:r w:rsidRPr="00EC7FE8">
        <w:rPr>
          <w:rFonts w:ascii="Arial" w:hAnsi="Arial" w:cs="Arial"/>
          <w:b/>
          <w:sz w:val="18"/>
          <w:szCs w:val="18"/>
          <w:u w:val="single"/>
        </w:rPr>
        <w:t xml:space="preserve">Clonidine HCl PF vials, 5,000 </w:t>
      </w:r>
      <w:r w:rsidR="00A054A4">
        <w:rPr>
          <w:rFonts w:ascii="Arial" w:hAnsi="Arial" w:cs="Arial"/>
          <w:b/>
          <w:sz w:val="18"/>
          <w:szCs w:val="18"/>
          <w:u w:val="single"/>
        </w:rPr>
        <w:t>mcg/10 ml and 1,000 mcg/10 ml:</w:t>
      </w:r>
      <w:r w:rsidR="00A054A4" w:rsidRPr="00A054A4">
        <w:rPr>
          <w:rFonts w:ascii="Arial" w:hAnsi="Arial" w:cs="Arial"/>
          <w:b/>
          <w:sz w:val="18"/>
          <w:szCs w:val="18"/>
        </w:rPr>
        <w:t xml:space="preserve"> </w:t>
      </w:r>
      <w:r w:rsidR="00EC7FE8" w:rsidRPr="00EC7FE8">
        <w:rPr>
          <w:rFonts w:ascii="Arial" w:hAnsi="Arial" w:cs="Arial"/>
          <w:sz w:val="18"/>
          <w:szCs w:val="18"/>
        </w:rPr>
        <w:t>Clonidine hydrochloride is indicated in combination with opiates for the treatment of severe pain in cancer patients that is not adequately relieved by opioid analgesics alone. Epidural clonidine is more likely to be effective in patients with neuropathic</w:t>
      </w:r>
      <w:r w:rsidR="00A054A4">
        <w:rPr>
          <w:rFonts w:ascii="Arial" w:hAnsi="Arial" w:cs="Arial"/>
          <w:sz w:val="18"/>
          <w:szCs w:val="18"/>
        </w:rPr>
        <w:t xml:space="preserve"> pain than somatic or visceral.</w:t>
      </w:r>
      <w:r w:rsidR="00EC7FE8" w:rsidRPr="00EC7FE8">
        <w:rPr>
          <w:rFonts w:ascii="Arial" w:hAnsi="Arial" w:cs="Arial"/>
          <w:sz w:val="18"/>
          <w:szCs w:val="18"/>
        </w:rPr>
        <w:t xml:space="preserve"> The safety of this drug product has only been established in a highly selected group of cancer patients, and only after an adequate trial of opioid analgesia. Other use is of unproven safety and is not recommended.</w:t>
      </w:r>
    </w:p>
    <w:p w:rsidR="00EC7FE8" w:rsidRPr="00EC7FE8" w:rsidRDefault="00EC7FE8" w:rsidP="00EC7FE8">
      <w:pPr>
        <w:pStyle w:val="ListParagraph"/>
        <w:tabs>
          <w:tab w:val="left" w:pos="1095"/>
        </w:tabs>
        <w:ind w:left="1440"/>
        <w:rPr>
          <w:rFonts w:ascii="Arial" w:hAnsi="Arial" w:cs="Arial"/>
          <w:sz w:val="18"/>
          <w:szCs w:val="18"/>
        </w:rPr>
      </w:pPr>
    </w:p>
    <w:p w:rsidR="00EC7FE8" w:rsidRDefault="00EC7FE8" w:rsidP="00EC7FE8">
      <w:pPr>
        <w:pStyle w:val="ListParagraph"/>
        <w:tabs>
          <w:tab w:val="left" w:pos="1095"/>
        </w:tabs>
        <w:ind w:left="1440"/>
        <w:rPr>
          <w:rFonts w:ascii="Arial" w:hAnsi="Arial" w:cs="Arial"/>
          <w:sz w:val="18"/>
          <w:szCs w:val="18"/>
        </w:rPr>
      </w:pPr>
      <w:r w:rsidRPr="00EC7FE8">
        <w:rPr>
          <w:rFonts w:ascii="Arial" w:hAnsi="Arial" w:cs="Arial"/>
          <w:sz w:val="18"/>
          <w:szCs w:val="18"/>
        </w:rPr>
        <w:t xml:space="preserve">The reimbursement rate has </w:t>
      </w:r>
      <w:r>
        <w:rPr>
          <w:rFonts w:ascii="Arial" w:hAnsi="Arial" w:cs="Arial"/>
          <w:sz w:val="18"/>
          <w:szCs w:val="18"/>
        </w:rPr>
        <w:t>a w</w:t>
      </w:r>
      <w:r w:rsidRPr="00EC7FE8">
        <w:rPr>
          <w:rFonts w:ascii="Arial" w:hAnsi="Arial" w:cs="Arial"/>
          <w:sz w:val="18"/>
          <w:szCs w:val="18"/>
        </w:rPr>
        <w:t>ide variance for the 5,000 mcg</w:t>
      </w:r>
      <w:r w:rsidR="003770C9">
        <w:rPr>
          <w:rFonts w:ascii="Arial" w:hAnsi="Arial" w:cs="Arial"/>
          <w:sz w:val="18"/>
          <w:szCs w:val="18"/>
        </w:rPr>
        <w:t>/10 ml strength, ranging from $</w:t>
      </w:r>
      <w:r w:rsidRPr="00EC7FE8">
        <w:rPr>
          <w:rFonts w:ascii="Arial" w:hAnsi="Arial" w:cs="Arial"/>
          <w:sz w:val="18"/>
          <w:szCs w:val="18"/>
        </w:rPr>
        <w:t>9.40 to $22.70 per ml; the 1000 mcg/10 ml strength ranges from $1.92 to $4.54 per ml.</w:t>
      </w:r>
    </w:p>
    <w:p w:rsidR="00EC7FE8" w:rsidRDefault="00EC7FE8" w:rsidP="00EC7FE8">
      <w:pPr>
        <w:pStyle w:val="ListParagraph"/>
        <w:tabs>
          <w:tab w:val="left" w:pos="1095"/>
        </w:tabs>
        <w:ind w:left="1440"/>
        <w:rPr>
          <w:rFonts w:ascii="Arial" w:hAnsi="Arial" w:cs="Arial"/>
          <w:sz w:val="18"/>
          <w:szCs w:val="18"/>
        </w:rPr>
      </w:pPr>
    </w:p>
    <w:p w:rsidR="00EC7FE8" w:rsidRDefault="00EC7FE8" w:rsidP="00EC7FE8">
      <w:pPr>
        <w:pStyle w:val="ListParagraph"/>
        <w:tabs>
          <w:tab w:val="left" w:pos="1095"/>
        </w:tabs>
        <w:ind w:left="1095"/>
        <w:rPr>
          <w:rFonts w:ascii="Arial" w:hAnsi="Arial" w:cs="Arial"/>
          <w:sz w:val="18"/>
          <w:szCs w:val="18"/>
        </w:rPr>
      </w:pPr>
      <w:r w:rsidRPr="00464DAF">
        <w:rPr>
          <w:rFonts w:ascii="Arial" w:hAnsi="Arial" w:cs="Arial"/>
          <w:sz w:val="18"/>
          <w:szCs w:val="18"/>
        </w:rPr>
        <w:t xml:space="preserve">Manual Review PA will be required for all requests for </w:t>
      </w:r>
      <w:r>
        <w:rPr>
          <w:rFonts w:ascii="Arial" w:hAnsi="Arial" w:cs="Arial"/>
          <w:sz w:val="18"/>
          <w:szCs w:val="18"/>
        </w:rPr>
        <w:t xml:space="preserve">clonidine HCl PF vials </w:t>
      </w:r>
      <w:r w:rsidRPr="00464DAF">
        <w:rPr>
          <w:rFonts w:ascii="Arial" w:hAnsi="Arial" w:cs="Arial"/>
          <w:sz w:val="18"/>
          <w:szCs w:val="18"/>
        </w:rPr>
        <w:t>and will be rev</w:t>
      </w:r>
      <w:r w:rsidR="00DE75B6">
        <w:rPr>
          <w:rFonts w:ascii="Arial" w:hAnsi="Arial" w:cs="Arial"/>
          <w:sz w:val="18"/>
          <w:szCs w:val="18"/>
        </w:rPr>
        <w:t>iewed on a case-by-case basis.</w:t>
      </w:r>
    </w:p>
    <w:p w:rsidR="00EC7FE8" w:rsidRDefault="00EC7FE8" w:rsidP="00EC7FE8">
      <w:pPr>
        <w:pStyle w:val="ListParagraph"/>
        <w:tabs>
          <w:tab w:val="left" w:pos="1095"/>
        </w:tabs>
        <w:ind w:left="1440"/>
        <w:rPr>
          <w:rFonts w:ascii="Arial" w:hAnsi="Arial" w:cs="Arial"/>
          <w:sz w:val="18"/>
          <w:szCs w:val="18"/>
        </w:rPr>
      </w:pPr>
    </w:p>
    <w:p w:rsidR="00EC7FE8" w:rsidRDefault="00EC7FE8" w:rsidP="00EC7FE8">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DE75B6">
        <w:rPr>
          <w:rFonts w:ascii="Arial" w:hAnsi="Arial" w:cs="Arial"/>
          <w:b/>
          <w:sz w:val="18"/>
          <w:szCs w:val="18"/>
        </w:rPr>
        <w:t>.</w:t>
      </w:r>
    </w:p>
    <w:p w:rsidR="00EC7FE8" w:rsidRPr="00EC7FE8" w:rsidRDefault="00EC7FE8" w:rsidP="00EC7FE8">
      <w:pPr>
        <w:pStyle w:val="ListParagraph"/>
        <w:tabs>
          <w:tab w:val="left" w:pos="1095"/>
        </w:tabs>
        <w:ind w:left="1440"/>
        <w:rPr>
          <w:rFonts w:ascii="Arial" w:hAnsi="Arial" w:cs="Arial"/>
          <w:sz w:val="18"/>
          <w:szCs w:val="18"/>
        </w:rPr>
      </w:pPr>
    </w:p>
    <w:p w:rsidR="007235C8" w:rsidRDefault="00EC7FE8" w:rsidP="00A214D1">
      <w:pPr>
        <w:pStyle w:val="ListParagraph"/>
        <w:numPr>
          <w:ilvl w:val="1"/>
          <w:numId w:val="6"/>
        </w:numPr>
        <w:tabs>
          <w:tab w:val="left" w:pos="1095"/>
        </w:tabs>
        <w:rPr>
          <w:rFonts w:ascii="Arial" w:hAnsi="Arial" w:cs="Arial"/>
          <w:sz w:val="18"/>
          <w:szCs w:val="18"/>
        </w:rPr>
      </w:pPr>
      <w:r w:rsidRPr="00EC7FE8">
        <w:rPr>
          <w:rFonts w:ascii="Arial" w:hAnsi="Arial" w:cs="Arial"/>
          <w:b/>
          <w:sz w:val="18"/>
          <w:szCs w:val="18"/>
          <w:u w:val="single"/>
        </w:rPr>
        <w:t xml:space="preserve">Aptiom® (eslicarbazepine acetate) tablet, 200 mg, 400 mg, 600 mg, </w:t>
      </w:r>
      <w:r w:rsidR="003770C9" w:rsidRPr="00EC7FE8">
        <w:rPr>
          <w:rFonts w:ascii="Arial" w:hAnsi="Arial" w:cs="Arial"/>
          <w:b/>
          <w:sz w:val="18"/>
          <w:szCs w:val="18"/>
          <w:u w:val="single"/>
        </w:rPr>
        <w:t>and 800</w:t>
      </w:r>
      <w:r w:rsidRPr="00EC7FE8">
        <w:rPr>
          <w:rFonts w:ascii="Arial" w:hAnsi="Arial" w:cs="Arial"/>
          <w:b/>
          <w:sz w:val="18"/>
          <w:szCs w:val="18"/>
          <w:u w:val="single"/>
        </w:rPr>
        <w:t xml:space="preserve"> mg strengths</w:t>
      </w:r>
      <w:r w:rsidRPr="00A054A4">
        <w:rPr>
          <w:rFonts w:ascii="Arial" w:hAnsi="Arial" w:cs="Arial"/>
          <w:b/>
          <w:sz w:val="18"/>
          <w:szCs w:val="18"/>
        </w:rPr>
        <w:t>:</w:t>
      </w:r>
      <w:r w:rsidRPr="00EC7FE8">
        <w:rPr>
          <w:rFonts w:ascii="Arial" w:hAnsi="Arial" w:cs="Arial"/>
          <w:sz w:val="18"/>
          <w:szCs w:val="18"/>
        </w:rPr>
        <w:t xml:space="preserve"> is indicated as adjunctive treatment of partial-onset seizures.  </w:t>
      </w:r>
      <w:r w:rsidR="00A214D1">
        <w:rPr>
          <w:rFonts w:ascii="Arial" w:hAnsi="Arial" w:cs="Arial"/>
          <w:sz w:val="18"/>
          <w:szCs w:val="18"/>
        </w:rPr>
        <w:t>The recommended starting dose is</w:t>
      </w:r>
      <w:r w:rsidR="00A214D1" w:rsidRPr="00A214D1">
        <w:rPr>
          <w:rFonts w:ascii="Arial" w:hAnsi="Arial" w:cs="Arial"/>
          <w:sz w:val="18"/>
          <w:szCs w:val="18"/>
        </w:rPr>
        <w:t xml:space="preserve"> 400 mg once daily. After one week,</w:t>
      </w:r>
      <w:r w:rsidR="00A214D1">
        <w:rPr>
          <w:rFonts w:ascii="Arial" w:hAnsi="Arial" w:cs="Arial"/>
          <w:sz w:val="18"/>
          <w:szCs w:val="18"/>
        </w:rPr>
        <w:t xml:space="preserve"> the dose may be</w:t>
      </w:r>
      <w:r w:rsidR="00A214D1" w:rsidRPr="00A214D1">
        <w:rPr>
          <w:rFonts w:ascii="Arial" w:hAnsi="Arial" w:cs="Arial"/>
          <w:sz w:val="18"/>
          <w:szCs w:val="18"/>
        </w:rPr>
        <w:t xml:space="preserve"> increase</w:t>
      </w:r>
      <w:r w:rsidR="00A214D1">
        <w:rPr>
          <w:rFonts w:ascii="Arial" w:hAnsi="Arial" w:cs="Arial"/>
          <w:sz w:val="18"/>
          <w:szCs w:val="18"/>
        </w:rPr>
        <w:t>d</w:t>
      </w:r>
      <w:r w:rsidR="00A214D1" w:rsidRPr="00A214D1">
        <w:rPr>
          <w:rFonts w:ascii="Arial" w:hAnsi="Arial" w:cs="Arial"/>
          <w:sz w:val="18"/>
          <w:szCs w:val="18"/>
        </w:rPr>
        <w:t xml:space="preserve"> to 800 mg once daily, which is the recommended maintenance dosage. Some patients may benefit from the maximum recommended maintenance dosage of 1200 mg once daily, although this dosage is associated with an increase in adverse reactions. A maximum dose of 1200 mg daily should only be initiated after the patient has tolerated 800 mg daily for at least a week.</w:t>
      </w:r>
    </w:p>
    <w:p w:rsidR="007235C8" w:rsidRDefault="007235C8" w:rsidP="007235C8">
      <w:pPr>
        <w:pStyle w:val="ListParagraph"/>
        <w:tabs>
          <w:tab w:val="left" w:pos="1095"/>
        </w:tabs>
        <w:ind w:left="1440"/>
        <w:rPr>
          <w:rFonts w:ascii="Arial" w:hAnsi="Arial" w:cs="Arial"/>
          <w:sz w:val="18"/>
          <w:szCs w:val="18"/>
        </w:rPr>
      </w:pPr>
    </w:p>
    <w:p w:rsidR="007235C8" w:rsidRDefault="007235C8" w:rsidP="00A214D1">
      <w:pPr>
        <w:pStyle w:val="ListParagraph"/>
        <w:tabs>
          <w:tab w:val="left" w:pos="1095"/>
        </w:tabs>
        <w:ind w:left="1440"/>
        <w:rPr>
          <w:rFonts w:ascii="Arial" w:hAnsi="Arial" w:cs="Arial"/>
          <w:sz w:val="18"/>
          <w:szCs w:val="18"/>
        </w:rPr>
      </w:pPr>
      <w:r>
        <w:rPr>
          <w:rFonts w:ascii="Arial" w:hAnsi="Arial" w:cs="Arial"/>
          <w:sz w:val="18"/>
          <w:szCs w:val="18"/>
        </w:rPr>
        <w:t>Rei</w:t>
      </w:r>
      <w:r w:rsidR="00A214D1">
        <w:rPr>
          <w:rFonts w:ascii="Arial" w:hAnsi="Arial" w:cs="Arial"/>
          <w:sz w:val="18"/>
          <w:szCs w:val="18"/>
        </w:rPr>
        <w:t>mb</w:t>
      </w:r>
      <w:r w:rsidR="00C73957">
        <w:rPr>
          <w:rFonts w:ascii="Arial" w:hAnsi="Arial" w:cs="Arial"/>
          <w:sz w:val="18"/>
          <w:szCs w:val="18"/>
        </w:rPr>
        <w:t xml:space="preserve">ursement rates are as follows: </w:t>
      </w:r>
      <w:r w:rsidR="00A214D1">
        <w:rPr>
          <w:rFonts w:ascii="Arial" w:hAnsi="Arial" w:cs="Arial"/>
          <w:sz w:val="18"/>
          <w:szCs w:val="18"/>
        </w:rPr>
        <w:t xml:space="preserve">the </w:t>
      </w:r>
      <w:r w:rsidR="00A214D1" w:rsidRPr="00A214D1">
        <w:rPr>
          <w:rFonts w:ascii="Arial" w:hAnsi="Arial" w:cs="Arial"/>
          <w:sz w:val="18"/>
          <w:szCs w:val="18"/>
        </w:rPr>
        <w:t xml:space="preserve">200 </w:t>
      </w:r>
      <w:r w:rsidR="00A214D1">
        <w:rPr>
          <w:rFonts w:ascii="Arial" w:hAnsi="Arial" w:cs="Arial"/>
          <w:sz w:val="18"/>
          <w:szCs w:val="18"/>
        </w:rPr>
        <w:t xml:space="preserve">mg tablet is </w:t>
      </w:r>
      <w:r w:rsidR="00A214D1" w:rsidRPr="00A214D1">
        <w:rPr>
          <w:rFonts w:ascii="Arial" w:hAnsi="Arial" w:cs="Arial"/>
          <w:sz w:val="18"/>
          <w:szCs w:val="18"/>
        </w:rPr>
        <w:t xml:space="preserve">$15.47 </w:t>
      </w:r>
      <w:r w:rsidR="003770C9">
        <w:rPr>
          <w:rFonts w:ascii="Arial" w:hAnsi="Arial" w:cs="Arial"/>
          <w:sz w:val="18"/>
          <w:szCs w:val="18"/>
        </w:rPr>
        <w:t>each</w:t>
      </w:r>
      <w:r w:rsidR="009408F8">
        <w:rPr>
          <w:rFonts w:ascii="Arial" w:hAnsi="Arial" w:cs="Arial"/>
          <w:sz w:val="18"/>
          <w:szCs w:val="18"/>
        </w:rPr>
        <w:t xml:space="preserve"> ($479.57 / 31 days’ supply)</w:t>
      </w:r>
      <w:r w:rsidR="00A214D1">
        <w:rPr>
          <w:rFonts w:ascii="Arial" w:hAnsi="Arial" w:cs="Arial"/>
          <w:sz w:val="18"/>
          <w:szCs w:val="18"/>
        </w:rPr>
        <w:t xml:space="preserve">; </w:t>
      </w:r>
      <w:r w:rsidR="003770C9">
        <w:rPr>
          <w:rFonts w:ascii="Arial" w:hAnsi="Arial" w:cs="Arial"/>
          <w:sz w:val="18"/>
          <w:szCs w:val="18"/>
        </w:rPr>
        <w:t>the 400</w:t>
      </w:r>
      <w:r w:rsidR="003770C9" w:rsidRPr="00A214D1">
        <w:rPr>
          <w:rFonts w:ascii="Arial" w:hAnsi="Arial" w:cs="Arial"/>
          <w:sz w:val="18"/>
          <w:szCs w:val="18"/>
        </w:rPr>
        <w:t xml:space="preserve"> mg, 600 mg, and 800 </w:t>
      </w:r>
      <w:r w:rsidR="003770C9">
        <w:rPr>
          <w:rFonts w:ascii="Arial" w:hAnsi="Arial" w:cs="Arial"/>
          <w:sz w:val="18"/>
          <w:szCs w:val="18"/>
        </w:rPr>
        <w:t>mg tablets are</w:t>
      </w:r>
      <w:r w:rsidR="003770C9" w:rsidRPr="00A214D1">
        <w:rPr>
          <w:rFonts w:ascii="Arial" w:hAnsi="Arial" w:cs="Arial"/>
          <w:sz w:val="18"/>
          <w:szCs w:val="18"/>
        </w:rPr>
        <w:t xml:space="preserve"> </w:t>
      </w:r>
      <w:r w:rsidR="003770C9">
        <w:rPr>
          <w:rFonts w:ascii="Arial" w:hAnsi="Arial" w:cs="Arial"/>
          <w:sz w:val="18"/>
          <w:szCs w:val="18"/>
        </w:rPr>
        <w:t>$</w:t>
      </w:r>
      <w:r w:rsidR="003770C9" w:rsidRPr="00A214D1">
        <w:rPr>
          <w:rFonts w:ascii="Arial" w:hAnsi="Arial" w:cs="Arial"/>
          <w:sz w:val="18"/>
          <w:szCs w:val="18"/>
        </w:rPr>
        <w:t>20.62 each</w:t>
      </w:r>
      <w:r w:rsidR="009408F8">
        <w:rPr>
          <w:rFonts w:ascii="Arial" w:hAnsi="Arial" w:cs="Arial"/>
          <w:sz w:val="18"/>
          <w:szCs w:val="18"/>
        </w:rPr>
        <w:t xml:space="preserve"> ($639.22 / 31 days’ supply, or $1,278.44 for 1,200 mg/day for 31 days’ supply)</w:t>
      </w:r>
      <w:r w:rsidR="003770C9">
        <w:rPr>
          <w:rFonts w:ascii="Arial" w:hAnsi="Arial" w:cs="Arial"/>
          <w:sz w:val="18"/>
          <w:szCs w:val="18"/>
        </w:rPr>
        <w:t>.</w:t>
      </w:r>
    </w:p>
    <w:p w:rsidR="00A214D1" w:rsidRDefault="00A214D1" w:rsidP="00A214D1">
      <w:pPr>
        <w:pStyle w:val="ListParagraph"/>
        <w:tabs>
          <w:tab w:val="left" w:pos="1095"/>
        </w:tabs>
        <w:ind w:left="1440"/>
        <w:rPr>
          <w:rFonts w:ascii="Arial" w:hAnsi="Arial" w:cs="Arial"/>
          <w:sz w:val="18"/>
          <w:szCs w:val="18"/>
        </w:rPr>
      </w:pPr>
    </w:p>
    <w:p w:rsidR="00A214D1" w:rsidRDefault="00A214D1" w:rsidP="00A214D1">
      <w:pPr>
        <w:pStyle w:val="ListParagraph"/>
        <w:ind w:left="1080"/>
        <w:rPr>
          <w:rFonts w:ascii="Arial" w:hAnsi="Arial" w:cs="Arial"/>
          <w:sz w:val="18"/>
          <w:szCs w:val="18"/>
        </w:rPr>
      </w:pPr>
      <w:r w:rsidRPr="00464DAF">
        <w:rPr>
          <w:rFonts w:ascii="Arial" w:hAnsi="Arial" w:cs="Arial"/>
          <w:sz w:val="18"/>
          <w:szCs w:val="18"/>
        </w:rPr>
        <w:t xml:space="preserve">Manual Review PA will be required for all requests </w:t>
      </w:r>
      <w:r w:rsidR="00616C97">
        <w:rPr>
          <w:rFonts w:ascii="Arial" w:hAnsi="Arial" w:cs="Arial"/>
          <w:sz w:val="18"/>
          <w:szCs w:val="18"/>
        </w:rPr>
        <w:t xml:space="preserve">for </w:t>
      </w:r>
      <w:r>
        <w:rPr>
          <w:rFonts w:ascii="Arial" w:hAnsi="Arial" w:cs="Arial"/>
          <w:sz w:val="18"/>
          <w:szCs w:val="18"/>
        </w:rPr>
        <w:t>Aptiom</w:t>
      </w:r>
      <w:r w:rsidR="005B4785">
        <w:rPr>
          <w:rFonts w:ascii="Arial" w:hAnsi="Arial" w:cs="Arial"/>
          <w:sz w:val="18"/>
          <w:szCs w:val="18"/>
        </w:rPr>
        <w:t>®</w:t>
      </w:r>
      <w:r>
        <w:rPr>
          <w:rFonts w:ascii="Arial" w:hAnsi="Arial" w:cs="Arial"/>
          <w:sz w:val="18"/>
          <w:szCs w:val="18"/>
        </w:rPr>
        <w:t xml:space="preserve"> tablets </w:t>
      </w:r>
      <w:r w:rsidRPr="00464DAF">
        <w:rPr>
          <w:rFonts w:ascii="Arial" w:hAnsi="Arial" w:cs="Arial"/>
          <w:sz w:val="18"/>
          <w:szCs w:val="18"/>
        </w:rPr>
        <w:t>and will be reviewed on a case-by-case basis.</w:t>
      </w:r>
      <w:r w:rsidR="00A054A4">
        <w:rPr>
          <w:rFonts w:ascii="Arial" w:hAnsi="Arial" w:cs="Arial"/>
          <w:sz w:val="18"/>
          <w:szCs w:val="18"/>
        </w:rPr>
        <w:t xml:space="preserve"> </w:t>
      </w:r>
      <w:r w:rsidRPr="00A214D1">
        <w:rPr>
          <w:rFonts w:ascii="Arial" w:hAnsi="Arial" w:cs="Arial"/>
          <w:sz w:val="18"/>
          <w:szCs w:val="18"/>
        </w:rPr>
        <w:t xml:space="preserve">In addition, </w:t>
      </w:r>
      <w:r>
        <w:rPr>
          <w:rFonts w:ascii="Arial" w:hAnsi="Arial" w:cs="Arial"/>
          <w:sz w:val="18"/>
          <w:szCs w:val="18"/>
        </w:rPr>
        <w:t xml:space="preserve">a </w:t>
      </w:r>
      <w:r w:rsidRPr="00A214D1">
        <w:rPr>
          <w:rFonts w:ascii="Arial" w:hAnsi="Arial" w:cs="Arial"/>
          <w:sz w:val="18"/>
          <w:szCs w:val="18"/>
        </w:rPr>
        <w:t xml:space="preserve">quantity edit </w:t>
      </w:r>
      <w:r>
        <w:rPr>
          <w:rFonts w:ascii="Arial" w:hAnsi="Arial" w:cs="Arial"/>
          <w:sz w:val="18"/>
          <w:szCs w:val="18"/>
        </w:rPr>
        <w:t xml:space="preserve">is applied </w:t>
      </w:r>
      <w:r w:rsidR="00845C1E">
        <w:rPr>
          <w:rFonts w:ascii="Arial" w:hAnsi="Arial" w:cs="Arial"/>
          <w:sz w:val="18"/>
          <w:szCs w:val="18"/>
        </w:rPr>
        <w:t>for</w:t>
      </w:r>
      <w:r w:rsidR="00961236">
        <w:rPr>
          <w:rFonts w:ascii="Arial" w:hAnsi="Arial" w:cs="Arial"/>
          <w:sz w:val="18"/>
          <w:szCs w:val="18"/>
        </w:rPr>
        <w:t xml:space="preserve"> one (</w:t>
      </w:r>
      <w:r w:rsidRPr="00A214D1">
        <w:rPr>
          <w:rFonts w:ascii="Arial" w:hAnsi="Arial" w:cs="Arial"/>
          <w:sz w:val="18"/>
          <w:szCs w:val="18"/>
        </w:rPr>
        <w:t>1</w:t>
      </w:r>
      <w:r w:rsidR="00961236">
        <w:rPr>
          <w:rFonts w:ascii="Arial" w:hAnsi="Arial" w:cs="Arial"/>
          <w:sz w:val="18"/>
          <w:szCs w:val="18"/>
        </w:rPr>
        <w:t>)</w:t>
      </w:r>
      <w:r w:rsidRPr="00A214D1">
        <w:rPr>
          <w:rFonts w:ascii="Arial" w:hAnsi="Arial" w:cs="Arial"/>
          <w:sz w:val="18"/>
          <w:szCs w:val="18"/>
        </w:rPr>
        <w:t xml:space="preserve"> tablet per day for each strength tablet (200 mg, 400 mg, 800 mg), and a cumulative quantity edit of 31 per 31 days for each strength tablet with the e</w:t>
      </w:r>
      <w:r w:rsidR="00A054A4">
        <w:rPr>
          <w:rFonts w:ascii="Arial" w:hAnsi="Arial" w:cs="Arial"/>
          <w:sz w:val="18"/>
          <w:szCs w:val="18"/>
        </w:rPr>
        <w:t xml:space="preserve">xception of the 600 mg tablet. </w:t>
      </w:r>
      <w:r>
        <w:rPr>
          <w:rFonts w:ascii="Arial" w:hAnsi="Arial" w:cs="Arial"/>
          <w:sz w:val="18"/>
          <w:szCs w:val="18"/>
        </w:rPr>
        <w:t xml:space="preserve">A quantity of up to 2 tablets once daily will be allowed for the </w:t>
      </w:r>
      <w:r w:rsidRPr="00A214D1">
        <w:rPr>
          <w:rFonts w:ascii="Arial" w:hAnsi="Arial" w:cs="Arial"/>
          <w:sz w:val="18"/>
          <w:szCs w:val="18"/>
        </w:rPr>
        <w:t xml:space="preserve">600 mg tablet and cumulative quantity edit of 62 tablets per 31 days </w:t>
      </w:r>
      <w:r>
        <w:rPr>
          <w:rFonts w:ascii="Arial" w:hAnsi="Arial" w:cs="Arial"/>
          <w:sz w:val="18"/>
          <w:szCs w:val="18"/>
        </w:rPr>
        <w:t xml:space="preserve">for those patients who may require the </w:t>
      </w:r>
      <w:r w:rsidRPr="00A214D1">
        <w:rPr>
          <w:rFonts w:ascii="Arial" w:hAnsi="Arial" w:cs="Arial"/>
          <w:sz w:val="18"/>
          <w:szCs w:val="18"/>
        </w:rPr>
        <w:t xml:space="preserve">1200 mg </w:t>
      </w:r>
      <w:r w:rsidR="00A054A4">
        <w:rPr>
          <w:rFonts w:ascii="Arial" w:hAnsi="Arial" w:cs="Arial"/>
          <w:sz w:val="18"/>
          <w:szCs w:val="18"/>
        </w:rPr>
        <w:t>daily dose.</w:t>
      </w:r>
    </w:p>
    <w:p w:rsidR="00FD59A6" w:rsidRDefault="00FD59A6" w:rsidP="00A214D1">
      <w:pPr>
        <w:pStyle w:val="ListParagraph"/>
        <w:ind w:left="1080"/>
        <w:rPr>
          <w:rFonts w:ascii="Arial" w:hAnsi="Arial" w:cs="Arial"/>
          <w:sz w:val="18"/>
          <w:szCs w:val="18"/>
        </w:rPr>
      </w:pPr>
    </w:p>
    <w:p w:rsidR="00FD59A6" w:rsidRDefault="00FD59A6" w:rsidP="00FD59A6">
      <w:pPr>
        <w:pStyle w:val="ListParagraph"/>
        <w:tabs>
          <w:tab w:val="left" w:pos="1095"/>
        </w:tabs>
        <w:ind w:left="1080"/>
        <w:rPr>
          <w:rFonts w:ascii="Arial" w:hAnsi="Arial" w:cs="Arial"/>
          <w:b/>
          <w:sz w:val="18"/>
          <w:szCs w:val="18"/>
        </w:rPr>
      </w:pPr>
      <w:r w:rsidRPr="00464DAF">
        <w:rPr>
          <w:rFonts w:ascii="Arial" w:hAnsi="Arial" w:cs="Arial"/>
          <w:b/>
          <w:sz w:val="18"/>
          <w:szCs w:val="18"/>
        </w:rPr>
        <w:lastRenderedPageBreak/>
        <w:t>HP Prescription Drug Help Desk at 1-800-707-3854 or at 1-501-374-6609, extension 500</w:t>
      </w:r>
      <w:r w:rsidRPr="00464DAF">
        <w:rPr>
          <w:rFonts w:ascii="Arial" w:hAnsi="Arial" w:cs="Arial"/>
          <w:sz w:val="18"/>
          <w:szCs w:val="18"/>
        </w:rPr>
        <w:t xml:space="preserve"> for information</w:t>
      </w:r>
      <w:r w:rsidR="00A054A4">
        <w:rPr>
          <w:rFonts w:ascii="Arial" w:hAnsi="Arial" w:cs="Arial"/>
          <w:b/>
          <w:sz w:val="18"/>
          <w:szCs w:val="18"/>
        </w:rPr>
        <w:t>.</w:t>
      </w:r>
    </w:p>
    <w:p w:rsidR="003B2BA7" w:rsidRDefault="003B2BA7" w:rsidP="00FD59A6">
      <w:pPr>
        <w:pStyle w:val="ListParagraph"/>
        <w:tabs>
          <w:tab w:val="left" w:pos="1095"/>
        </w:tabs>
        <w:ind w:left="1080"/>
        <w:rPr>
          <w:rFonts w:ascii="Arial" w:hAnsi="Arial" w:cs="Arial"/>
          <w:b/>
          <w:sz w:val="18"/>
          <w:szCs w:val="18"/>
        </w:rPr>
      </w:pPr>
    </w:p>
    <w:p w:rsidR="0077395D" w:rsidRDefault="003B2BA7" w:rsidP="00C67194">
      <w:pPr>
        <w:pStyle w:val="ListParagraph"/>
        <w:numPr>
          <w:ilvl w:val="1"/>
          <w:numId w:val="6"/>
        </w:numPr>
        <w:tabs>
          <w:tab w:val="left" w:pos="1095"/>
        </w:tabs>
        <w:rPr>
          <w:rFonts w:ascii="Arial" w:hAnsi="Arial" w:cs="Arial"/>
          <w:sz w:val="18"/>
          <w:szCs w:val="18"/>
        </w:rPr>
      </w:pPr>
      <w:r w:rsidRPr="0077395D">
        <w:rPr>
          <w:rFonts w:ascii="Arial" w:hAnsi="Arial" w:cs="Arial"/>
          <w:b/>
          <w:sz w:val="18"/>
          <w:szCs w:val="18"/>
          <w:u w:val="single"/>
        </w:rPr>
        <w:t xml:space="preserve">Zohydro™ ER (hydrocodone extended release) capsules 10 mg, 15 </w:t>
      </w:r>
      <w:r w:rsidR="00A054A4">
        <w:rPr>
          <w:rFonts w:ascii="Arial" w:hAnsi="Arial" w:cs="Arial"/>
          <w:b/>
          <w:sz w:val="18"/>
          <w:szCs w:val="18"/>
          <w:u w:val="single"/>
        </w:rPr>
        <w:t>mg, 20 mg, 30 mg, 40 mg, 50 mg</w:t>
      </w:r>
      <w:r w:rsidR="00A054A4" w:rsidRPr="00A054A4">
        <w:rPr>
          <w:rFonts w:ascii="Arial" w:hAnsi="Arial" w:cs="Arial"/>
          <w:b/>
          <w:sz w:val="18"/>
          <w:szCs w:val="18"/>
        </w:rPr>
        <w:t>:</w:t>
      </w:r>
      <w:r w:rsidRPr="00A054A4">
        <w:rPr>
          <w:rFonts w:ascii="Arial" w:hAnsi="Arial" w:cs="Arial"/>
          <w:b/>
          <w:sz w:val="18"/>
          <w:szCs w:val="18"/>
        </w:rPr>
        <w:t xml:space="preserve"> </w:t>
      </w:r>
      <w:r w:rsidRPr="0077395D">
        <w:rPr>
          <w:rFonts w:ascii="Arial" w:hAnsi="Arial" w:cs="Arial"/>
          <w:sz w:val="18"/>
          <w:szCs w:val="18"/>
        </w:rPr>
        <w:t>Zohydro</w:t>
      </w:r>
      <w:r w:rsidR="005B4785" w:rsidRPr="0077395D">
        <w:rPr>
          <w:rFonts w:ascii="Arial" w:hAnsi="Arial" w:cs="Arial"/>
          <w:sz w:val="18"/>
          <w:szCs w:val="18"/>
        </w:rPr>
        <w:t>™ ER</w:t>
      </w:r>
      <w:r w:rsidRPr="0077395D">
        <w:rPr>
          <w:rFonts w:ascii="Arial" w:hAnsi="Arial" w:cs="Arial"/>
          <w:sz w:val="18"/>
          <w:szCs w:val="18"/>
        </w:rPr>
        <w:t xml:space="preserve"> is an opioid agonist indicated for the management of pain severe enough to require daily, around-the-clock, long-term opioid treatment and for which alternative treatment options are </w:t>
      </w:r>
      <w:r w:rsidR="00A054A4">
        <w:rPr>
          <w:rFonts w:ascii="Arial" w:hAnsi="Arial" w:cs="Arial"/>
          <w:sz w:val="18"/>
          <w:szCs w:val="18"/>
        </w:rPr>
        <w:t>inadequate.</w:t>
      </w:r>
      <w:r w:rsidRPr="0077395D">
        <w:rPr>
          <w:rFonts w:ascii="Arial" w:hAnsi="Arial" w:cs="Arial"/>
          <w:sz w:val="18"/>
          <w:szCs w:val="18"/>
        </w:rPr>
        <w:t xml:space="preserve"> Because of the risks of addiction, abuse, and misuse with opioids, even at recommended doses, and because of the greater risks of overdose and death with extended-release opioid formulations, reserve Zohydro™ ER for use in patients for whom alternative treatment options (e.g., non-opioid analgesics or immediate-release opioids) are ineffective, not tolerated, or would be otherwise inadequate to provide sufficient management of pain. Zohydro™ ER is not indicated </w:t>
      </w:r>
      <w:r w:rsidR="00A054A4">
        <w:rPr>
          <w:rFonts w:ascii="Arial" w:hAnsi="Arial" w:cs="Arial"/>
          <w:sz w:val="18"/>
          <w:szCs w:val="18"/>
        </w:rPr>
        <w:t>as an as-needed (prn) analgesic</w:t>
      </w:r>
      <w:r w:rsidRPr="0077395D">
        <w:rPr>
          <w:rFonts w:ascii="Arial" w:hAnsi="Arial" w:cs="Arial"/>
          <w:sz w:val="18"/>
          <w:szCs w:val="18"/>
        </w:rPr>
        <w:t xml:space="preserve"> </w:t>
      </w:r>
      <w:r w:rsidR="00A054A4">
        <w:rPr>
          <w:rFonts w:ascii="Arial" w:hAnsi="Arial" w:cs="Arial"/>
          <w:sz w:val="18"/>
          <w:szCs w:val="18"/>
        </w:rPr>
        <w:t>f</w:t>
      </w:r>
      <w:r w:rsidRPr="0077395D">
        <w:rPr>
          <w:rFonts w:ascii="Arial" w:hAnsi="Arial" w:cs="Arial"/>
          <w:sz w:val="18"/>
          <w:szCs w:val="18"/>
        </w:rPr>
        <w:t>or opioid-naïve and opioid non-tolerant patients, initiate with 10 mg capsules orally every 12 h</w:t>
      </w:r>
      <w:r w:rsidR="00961236" w:rsidRPr="0077395D">
        <w:rPr>
          <w:rFonts w:ascii="Arial" w:hAnsi="Arial" w:cs="Arial"/>
          <w:sz w:val="18"/>
          <w:szCs w:val="18"/>
        </w:rPr>
        <w:t>ours</w:t>
      </w:r>
      <w:r w:rsidR="00A054A4">
        <w:rPr>
          <w:rFonts w:ascii="Arial" w:hAnsi="Arial" w:cs="Arial"/>
          <w:sz w:val="18"/>
          <w:szCs w:val="18"/>
        </w:rPr>
        <w:t xml:space="preserve">. </w:t>
      </w:r>
      <w:r w:rsidRPr="0077395D">
        <w:rPr>
          <w:rFonts w:ascii="Arial" w:hAnsi="Arial" w:cs="Arial"/>
          <w:sz w:val="18"/>
          <w:szCs w:val="18"/>
        </w:rPr>
        <w:t xml:space="preserve">To convert to Zohydro™ ER from another opioid, use available conversion factors to obtain estimated dose. Increase the dose of Zohydro™ ER in increments of 10 mg every 12 hours every 3 to 7 days as needed </w:t>
      </w:r>
      <w:r w:rsidR="00A054A4">
        <w:rPr>
          <w:rFonts w:ascii="Arial" w:hAnsi="Arial" w:cs="Arial"/>
          <w:sz w:val="18"/>
          <w:szCs w:val="18"/>
        </w:rPr>
        <w:t xml:space="preserve">to achieve adequate analgesia. </w:t>
      </w:r>
      <w:r w:rsidRPr="0077395D">
        <w:rPr>
          <w:rFonts w:ascii="Arial" w:hAnsi="Arial" w:cs="Arial"/>
          <w:sz w:val="18"/>
          <w:szCs w:val="18"/>
        </w:rPr>
        <w:t>Individualize treatment; titrate to effective and tolerable dose. Capsules must be swallowed whole and are not to be chewed, crushed</w:t>
      </w:r>
      <w:r w:rsidR="00961236" w:rsidRPr="0077395D">
        <w:rPr>
          <w:rFonts w:ascii="Arial" w:hAnsi="Arial" w:cs="Arial"/>
          <w:sz w:val="18"/>
          <w:szCs w:val="18"/>
        </w:rPr>
        <w:t>,</w:t>
      </w:r>
      <w:r w:rsidR="008C0432">
        <w:rPr>
          <w:rFonts w:ascii="Arial" w:hAnsi="Arial" w:cs="Arial"/>
          <w:sz w:val="18"/>
          <w:szCs w:val="18"/>
        </w:rPr>
        <w:t xml:space="preserve"> or dissolved.</w:t>
      </w:r>
    </w:p>
    <w:p w:rsidR="003B2BA7" w:rsidRPr="0077395D" w:rsidRDefault="003B2BA7">
      <w:pPr>
        <w:pStyle w:val="ListParagraph"/>
        <w:tabs>
          <w:tab w:val="left" w:pos="1095"/>
        </w:tabs>
        <w:ind w:left="1440"/>
        <w:rPr>
          <w:rFonts w:ascii="Arial" w:hAnsi="Arial" w:cs="Arial"/>
          <w:b/>
          <w:sz w:val="18"/>
          <w:szCs w:val="18"/>
          <w:u w:val="single"/>
        </w:rPr>
      </w:pPr>
    </w:p>
    <w:p w:rsidR="003B2BA7" w:rsidRDefault="003B2BA7" w:rsidP="003B2BA7">
      <w:pPr>
        <w:pStyle w:val="ListParagraph"/>
        <w:tabs>
          <w:tab w:val="left" w:pos="1095"/>
        </w:tabs>
        <w:ind w:left="1440"/>
        <w:rPr>
          <w:rFonts w:ascii="Arial" w:hAnsi="Arial" w:cs="Arial"/>
          <w:sz w:val="18"/>
          <w:szCs w:val="18"/>
        </w:rPr>
      </w:pPr>
      <w:r>
        <w:rPr>
          <w:rFonts w:ascii="Arial" w:hAnsi="Arial" w:cs="Arial"/>
          <w:sz w:val="18"/>
          <w:szCs w:val="18"/>
        </w:rPr>
        <w:t xml:space="preserve">The reimbursement rate for </w:t>
      </w:r>
      <w:r w:rsidRPr="003B2BA7">
        <w:rPr>
          <w:rFonts w:ascii="Arial" w:hAnsi="Arial" w:cs="Arial"/>
          <w:sz w:val="18"/>
          <w:szCs w:val="18"/>
        </w:rPr>
        <w:t>Zohydro™ ER</w:t>
      </w:r>
      <w:r w:rsidR="00787D43">
        <w:rPr>
          <w:rFonts w:ascii="Arial" w:hAnsi="Arial" w:cs="Arial"/>
          <w:sz w:val="18"/>
          <w:szCs w:val="18"/>
        </w:rPr>
        <w:t xml:space="preserve"> is as follows:</w:t>
      </w:r>
    </w:p>
    <w:p w:rsidR="00787D43" w:rsidRPr="00787D43" w:rsidRDefault="00787D43" w:rsidP="00787D43">
      <w:pPr>
        <w:pStyle w:val="ListParagraph"/>
        <w:tabs>
          <w:tab w:val="left" w:pos="1095"/>
        </w:tabs>
        <w:ind w:left="1440"/>
        <w:rPr>
          <w:rFonts w:ascii="Arial" w:hAnsi="Arial" w:cs="Arial"/>
          <w:sz w:val="18"/>
          <w:szCs w:val="18"/>
        </w:rPr>
      </w:pPr>
      <w:r w:rsidRPr="00787D43">
        <w:rPr>
          <w:rFonts w:ascii="Arial" w:hAnsi="Arial" w:cs="Arial"/>
          <w:sz w:val="18"/>
          <w:szCs w:val="18"/>
        </w:rPr>
        <w:t>10 mg</w:t>
      </w:r>
      <w:r w:rsidRPr="00787D43">
        <w:rPr>
          <w:rFonts w:ascii="Arial" w:hAnsi="Arial" w:cs="Arial"/>
          <w:sz w:val="18"/>
          <w:szCs w:val="18"/>
        </w:rPr>
        <w:tab/>
        <w:t>$6.0</w:t>
      </w:r>
      <w:r>
        <w:rPr>
          <w:rFonts w:ascii="Arial" w:hAnsi="Arial" w:cs="Arial"/>
          <w:sz w:val="18"/>
          <w:szCs w:val="18"/>
        </w:rPr>
        <w:t>4 each</w:t>
      </w:r>
    </w:p>
    <w:p w:rsidR="00787D43" w:rsidRPr="00787D43" w:rsidRDefault="00787D43" w:rsidP="00787D43">
      <w:pPr>
        <w:pStyle w:val="ListParagraph"/>
        <w:tabs>
          <w:tab w:val="left" w:pos="1095"/>
        </w:tabs>
        <w:ind w:left="1440"/>
        <w:rPr>
          <w:rFonts w:ascii="Arial" w:hAnsi="Arial" w:cs="Arial"/>
          <w:sz w:val="18"/>
          <w:szCs w:val="18"/>
        </w:rPr>
      </w:pPr>
      <w:r w:rsidRPr="00787D43">
        <w:rPr>
          <w:rFonts w:ascii="Arial" w:hAnsi="Arial" w:cs="Arial"/>
          <w:sz w:val="18"/>
          <w:szCs w:val="18"/>
        </w:rPr>
        <w:t>15 mg</w:t>
      </w:r>
      <w:r w:rsidRPr="00787D43">
        <w:rPr>
          <w:rFonts w:ascii="Arial" w:hAnsi="Arial" w:cs="Arial"/>
          <w:sz w:val="18"/>
          <w:szCs w:val="18"/>
        </w:rPr>
        <w:tab/>
        <w:t>$6.45</w:t>
      </w:r>
      <w:r>
        <w:rPr>
          <w:rFonts w:ascii="Arial" w:hAnsi="Arial" w:cs="Arial"/>
          <w:sz w:val="18"/>
          <w:szCs w:val="18"/>
        </w:rPr>
        <w:t xml:space="preserve"> each</w:t>
      </w:r>
    </w:p>
    <w:p w:rsidR="00787D43" w:rsidRPr="00787D43" w:rsidRDefault="00787D43" w:rsidP="00787D43">
      <w:pPr>
        <w:pStyle w:val="ListParagraph"/>
        <w:tabs>
          <w:tab w:val="left" w:pos="1095"/>
        </w:tabs>
        <w:ind w:left="1440"/>
        <w:rPr>
          <w:rFonts w:ascii="Arial" w:hAnsi="Arial" w:cs="Arial"/>
          <w:sz w:val="18"/>
          <w:szCs w:val="18"/>
        </w:rPr>
      </w:pPr>
      <w:r w:rsidRPr="00787D43">
        <w:rPr>
          <w:rFonts w:ascii="Arial" w:hAnsi="Arial" w:cs="Arial"/>
          <w:sz w:val="18"/>
          <w:szCs w:val="18"/>
        </w:rPr>
        <w:t>20 mg</w:t>
      </w:r>
      <w:r w:rsidRPr="00787D43">
        <w:rPr>
          <w:rFonts w:ascii="Arial" w:hAnsi="Arial" w:cs="Arial"/>
          <w:sz w:val="18"/>
          <w:szCs w:val="18"/>
        </w:rPr>
        <w:tab/>
        <w:t>$6.6</w:t>
      </w:r>
      <w:r>
        <w:rPr>
          <w:rFonts w:ascii="Arial" w:hAnsi="Arial" w:cs="Arial"/>
          <w:sz w:val="18"/>
          <w:szCs w:val="18"/>
        </w:rPr>
        <w:t>6 each</w:t>
      </w:r>
    </w:p>
    <w:p w:rsidR="00787D43" w:rsidRPr="00787D43" w:rsidRDefault="00787D43" w:rsidP="00787D43">
      <w:pPr>
        <w:pStyle w:val="ListParagraph"/>
        <w:tabs>
          <w:tab w:val="left" w:pos="1095"/>
        </w:tabs>
        <w:ind w:left="1440"/>
        <w:rPr>
          <w:rFonts w:ascii="Arial" w:hAnsi="Arial" w:cs="Arial"/>
          <w:sz w:val="18"/>
          <w:szCs w:val="18"/>
        </w:rPr>
      </w:pPr>
      <w:r>
        <w:rPr>
          <w:rFonts w:ascii="Arial" w:hAnsi="Arial" w:cs="Arial"/>
          <w:sz w:val="18"/>
          <w:szCs w:val="18"/>
        </w:rPr>
        <w:t>30 mg</w:t>
      </w:r>
      <w:r>
        <w:rPr>
          <w:rFonts w:ascii="Arial" w:hAnsi="Arial" w:cs="Arial"/>
          <w:sz w:val="18"/>
          <w:szCs w:val="18"/>
        </w:rPr>
        <w:tab/>
        <w:t>$6.66 each</w:t>
      </w:r>
    </w:p>
    <w:p w:rsidR="00787D43" w:rsidRPr="00787D43" w:rsidRDefault="00787D43" w:rsidP="00787D43">
      <w:pPr>
        <w:pStyle w:val="ListParagraph"/>
        <w:tabs>
          <w:tab w:val="left" w:pos="1095"/>
        </w:tabs>
        <w:ind w:left="1440"/>
        <w:rPr>
          <w:rFonts w:ascii="Arial" w:hAnsi="Arial" w:cs="Arial"/>
          <w:sz w:val="18"/>
          <w:szCs w:val="18"/>
        </w:rPr>
      </w:pPr>
      <w:r>
        <w:rPr>
          <w:rFonts w:ascii="Arial" w:hAnsi="Arial" w:cs="Arial"/>
          <w:sz w:val="18"/>
          <w:szCs w:val="18"/>
        </w:rPr>
        <w:t>40 mg</w:t>
      </w:r>
      <w:r>
        <w:rPr>
          <w:rFonts w:ascii="Arial" w:hAnsi="Arial" w:cs="Arial"/>
          <w:sz w:val="18"/>
          <w:szCs w:val="18"/>
        </w:rPr>
        <w:tab/>
        <w:t>$7.07 each</w:t>
      </w:r>
    </w:p>
    <w:p w:rsidR="00787D43" w:rsidRDefault="00787D43" w:rsidP="00787D43">
      <w:pPr>
        <w:pStyle w:val="ListParagraph"/>
        <w:tabs>
          <w:tab w:val="left" w:pos="1095"/>
        </w:tabs>
        <w:ind w:left="1440"/>
        <w:rPr>
          <w:rFonts w:ascii="Arial" w:hAnsi="Arial" w:cs="Arial"/>
          <w:sz w:val="18"/>
          <w:szCs w:val="18"/>
        </w:rPr>
      </w:pPr>
      <w:r>
        <w:rPr>
          <w:rFonts w:ascii="Arial" w:hAnsi="Arial" w:cs="Arial"/>
          <w:sz w:val="18"/>
          <w:szCs w:val="18"/>
        </w:rPr>
        <w:t>50 mg</w:t>
      </w:r>
      <w:r>
        <w:rPr>
          <w:rFonts w:ascii="Arial" w:hAnsi="Arial" w:cs="Arial"/>
          <w:sz w:val="18"/>
          <w:szCs w:val="18"/>
        </w:rPr>
        <w:tab/>
        <w:t>$7.38 each</w:t>
      </w:r>
    </w:p>
    <w:p w:rsidR="00787D43" w:rsidRDefault="00787D43" w:rsidP="003B2BA7">
      <w:pPr>
        <w:pStyle w:val="ListParagraph"/>
        <w:tabs>
          <w:tab w:val="left" w:pos="1095"/>
        </w:tabs>
        <w:ind w:left="1440"/>
        <w:rPr>
          <w:rFonts w:ascii="Arial" w:hAnsi="Arial" w:cs="Arial"/>
          <w:sz w:val="18"/>
          <w:szCs w:val="18"/>
        </w:rPr>
      </w:pPr>
    </w:p>
    <w:p w:rsidR="00787D43" w:rsidRDefault="00787D43" w:rsidP="003B2BA7">
      <w:pPr>
        <w:pStyle w:val="ListParagraph"/>
        <w:tabs>
          <w:tab w:val="left" w:pos="1095"/>
        </w:tabs>
        <w:ind w:left="1440"/>
        <w:rPr>
          <w:rFonts w:ascii="Arial" w:hAnsi="Arial" w:cs="Arial"/>
          <w:sz w:val="18"/>
          <w:szCs w:val="18"/>
        </w:rPr>
      </w:pPr>
      <w:r w:rsidRPr="00787D43">
        <w:rPr>
          <w:rFonts w:ascii="Arial" w:hAnsi="Arial" w:cs="Arial"/>
          <w:sz w:val="18"/>
          <w:szCs w:val="18"/>
        </w:rPr>
        <w:t>Contrary to FDA recommendations, Zohydro™ ER is not in an abuse-deterrent form. It may therefore be preferentially sought for abuse and diversion.</w:t>
      </w:r>
    </w:p>
    <w:p w:rsidR="00787D43" w:rsidRDefault="00787D43" w:rsidP="003B2BA7">
      <w:pPr>
        <w:pStyle w:val="ListParagraph"/>
        <w:tabs>
          <w:tab w:val="left" w:pos="1095"/>
        </w:tabs>
        <w:ind w:left="1440"/>
        <w:rPr>
          <w:rFonts w:ascii="Arial" w:hAnsi="Arial" w:cs="Arial"/>
          <w:sz w:val="18"/>
          <w:szCs w:val="18"/>
        </w:rPr>
      </w:pPr>
    </w:p>
    <w:p w:rsidR="00787D43" w:rsidRDefault="00787D43" w:rsidP="00B40001">
      <w:pPr>
        <w:pStyle w:val="ListParagraph"/>
        <w:tabs>
          <w:tab w:val="left" w:pos="1095"/>
        </w:tabs>
        <w:ind w:left="1095"/>
        <w:rPr>
          <w:rFonts w:ascii="Arial" w:hAnsi="Arial" w:cs="Arial"/>
          <w:sz w:val="18"/>
          <w:szCs w:val="18"/>
        </w:rPr>
      </w:pPr>
      <w:r w:rsidRPr="00464DAF">
        <w:rPr>
          <w:rFonts w:ascii="Arial" w:hAnsi="Arial" w:cs="Arial"/>
          <w:sz w:val="18"/>
          <w:szCs w:val="18"/>
        </w:rPr>
        <w:t xml:space="preserve">Manual Review PA will be required for all requests </w:t>
      </w:r>
      <w:r>
        <w:rPr>
          <w:rFonts w:ascii="Arial" w:hAnsi="Arial" w:cs="Arial"/>
          <w:sz w:val="18"/>
          <w:szCs w:val="18"/>
        </w:rPr>
        <w:t xml:space="preserve">for </w:t>
      </w:r>
      <w:r w:rsidRPr="003B2BA7">
        <w:rPr>
          <w:rFonts w:ascii="Arial" w:hAnsi="Arial" w:cs="Arial"/>
          <w:sz w:val="18"/>
          <w:szCs w:val="18"/>
        </w:rPr>
        <w:t>Zohydro™ ER</w:t>
      </w:r>
      <w:r>
        <w:rPr>
          <w:rFonts w:ascii="Arial" w:hAnsi="Arial" w:cs="Arial"/>
          <w:sz w:val="18"/>
          <w:szCs w:val="18"/>
        </w:rPr>
        <w:t xml:space="preserve"> </w:t>
      </w:r>
      <w:r w:rsidRPr="00464DAF">
        <w:rPr>
          <w:rFonts w:ascii="Arial" w:hAnsi="Arial" w:cs="Arial"/>
          <w:sz w:val="18"/>
          <w:szCs w:val="18"/>
        </w:rPr>
        <w:t>and will be reviewed on a case-by-case basis.</w:t>
      </w:r>
      <w:r w:rsidR="008C0432">
        <w:rPr>
          <w:rFonts w:ascii="Arial" w:hAnsi="Arial" w:cs="Arial"/>
          <w:sz w:val="18"/>
          <w:szCs w:val="18"/>
        </w:rPr>
        <w:t xml:space="preserve"> </w:t>
      </w:r>
      <w:r w:rsidRPr="00A214D1">
        <w:rPr>
          <w:rFonts w:ascii="Arial" w:hAnsi="Arial" w:cs="Arial"/>
          <w:sz w:val="18"/>
          <w:szCs w:val="18"/>
        </w:rPr>
        <w:t xml:space="preserve">In addition, </w:t>
      </w:r>
      <w:r>
        <w:rPr>
          <w:rFonts w:ascii="Arial" w:hAnsi="Arial" w:cs="Arial"/>
          <w:sz w:val="18"/>
          <w:szCs w:val="18"/>
        </w:rPr>
        <w:t xml:space="preserve">a </w:t>
      </w:r>
      <w:r w:rsidRPr="00A214D1">
        <w:rPr>
          <w:rFonts w:ascii="Arial" w:hAnsi="Arial" w:cs="Arial"/>
          <w:sz w:val="18"/>
          <w:szCs w:val="18"/>
        </w:rPr>
        <w:t xml:space="preserve">quantity edit </w:t>
      </w:r>
      <w:r>
        <w:rPr>
          <w:rFonts w:ascii="Arial" w:hAnsi="Arial" w:cs="Arial"/>
          <w:sz w:val="18"/>
          <w:szCs w:val="18"/>
        </w:rPr>
        <w:t xml:space="preserve">is applied </w:t>
      </w:r>
      <w:r w:rsidRPr="00A214D1">
        <w:rPr>
          <w:rFonts w:ascii="Arial" w:hAnsi="Arial" w:cs="Arial"/>
          <w:sz w:val="18"/>
          <w:szCs w:val="18"/>
        </w:rPr>
        <w:t xml:space="preserve">of </w:t>
      </w:r>
      <w:r>
        <w:rPr>
          <w:rFonts w:ascii="Arial" w:hAnsi="Arial" w:cs="Arial"/>
          <w:sz w:val="18"/>
          <w:szCs w:val="18"/>
        </w:rPr>
        <w:t>2</w:t>
      </w:r>
      <w:r w:rsidRPr="00A214D1">
        <w:rPr>
          <w:rFonts w:ascii="Arial" w:hAnsi="Arial" w:cs="Arial"/>
          <w:sz w:val="18"/>
          <w:szCs w:val="18"/>
        </w:rPr>
        <w:t xml:space="preserve"> tablet</w:t>
      </w:r>
      <w:r>
        <w:rPr>
          <w:rFonts w:ascii="Arial" w:hAnsi="Arial" w:cs="Arial"/>
          <w:sz w:val="18"/>
          <w:szCs w:val="18"/>
        </w:rPr>
        <w:t>s</w:t>
      </w:r>
      <w:r w:rsidRPr="00A214D1">
        <w:rPr>
          <w:rFonts w:ascii="Arial" w:hAnsi="Arial" w:cs="Arial"/>
          <w:sz w:val="18"/>
          <w:szCs w:val="18"/>
        </w:rPr>
        <w:t xml:space="preserve"> per day for each strength</w:t>
      </w:r>
      <w:r>
        <w:rPr>
          <w:rFonts w:ascii="Arial" w:hAnsi="Arial" w:cs="Arial"/>
          <w:sz w:val="18"/>
          <w:szCs w:val="18"/>
        </w:rPr>
        <w:t xml:space="preserve"> tablet and a cumulative quantity e</w:t>
      </w:r>
      <w:r w:rsidR="008C0432">
        <w:rPr>
          <w:rFonts w:ascii="Arial" w:hAnsi="Arial" w:cs="Arial"/>
          <w:sz w:val="18"/>
          <w:szCs w:val="18"/>
        </w:rPr>
        <w:t>dit of 62 tablets per 31 days.</w:t>
      </w:r>
    </w:p>
    <w:p w:rsidR="00787D43" w:rsidRPr="003B2BA7" w:rsidRDefault="00787D43" w:rsidP="003B2BA7">
      <w:pPr>
        <w:pStyle w:val="ListParagraph"/>
        <w:tabs>
          <w:tab w:val="left" w:pos="1095"/>
        </w:tabs>
        <w:ind w:left="1440"/>
        <w:rPr>
          <w:rFonts w:ascii="Arial" w:hAnsi="Arial" w:cs="Arial"/>
          <w:sz w:val="18"/>
          <w:szCs w:val="18"/>
        </w:rPr>
      </w:pPr>
    </w:p>
    <w:p w:rsidR="00787D43" w:rsidRDefault="00787D43" w:rsidP="00787D43">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8C0432">
        <w:rPr>
          <w:rFonts w:ascii="Arial" w:hAnsi="Arial" w:cs="Arial"/>
          <w:b/>
          <w:sz w:val="18"/>
          <w:szCs w:val="18"/>
        </w:rPr>
        <w:t>.</w:t>
      </w:r>
    </w:p>
    <w:p w:rsidR="00B40001" w:rsidRDefault="00B40001" w:rsidP="00787D43">
      <w:pPr>
        <w:pStyle w:val="ListParagraph"/>
        <w:tabs>
          <w:tab w:val="left" w:pos="1095"/>
        </w:tabs>
        <w:ind w:left="1080"/>
        <w:rPr>
          <w:rFonts w:ascii="Arial" w:hAnsi="Arial" w:cs="Arial"/>
          <w:b/>
          <w:sz w:val="18"/>
          <w:szCs w:val="18"/>
        </w:rPr>
      </w:pPr>
    </w:p>
    <w:p w:rsidR="00FD59A6" w:rsidRDefault="00FD59A6" w:rsidP="00C67194">
      <w:pPr>
        <w:pStyle w:val="ListParagraph"/>
        <w:numPr>
          <w:ilvl w:val="1"/>
          <w:numId w:val="6"/>
        </w:numPr>
        <w:rPr>
          <w:rFonts w:ascii="Arial" w:hAnsi="Arial" w:cs="Arial"/>
          <w:sz w:val="18"/>
          <w:szCs w:val="18"/>
        </w:rPr>
      </w:pPr>
      <w:r w:rsidRPr="00616C97">
        <w:rPr>
          <w:rFonts w:ascii="Arial" w:hAnsi="Arial" w:cs="Arial"/>
          <w:b/>
          <w:sz w:val="18"/>
          <w:szCs w:val="18"/>
          <w:u w:val="single"/>
        </w:rPr>
        <w:t>Fycompa® (perampanel) tablet 2 mg, 4 mg, 6 mg, 8 mg, 10 mg, 12 mg</w:t>
      </w:r>
      <w:r w:rsidRPr="008C0432">
        <w:rPr>
          <w:rFonts w:ascii="Arial" w:hAnsi="Arial" w:cs="Arial"/>
          <w:b/>
          <w:sz w:val="18"/>
          <w:szCs w:val="18"/>
        </w:rPr>
        <w:t xml:space="preserve">: </w:t>
      </w:r>
      <w:r w:rsidR="00616C97" w:rsidRPr="00616C97">
        <w:rPr>
          <w:rFonts w:ascii="Arial" w:hAnsi="Arial" w:cs="Arial"/>
          <w:sz w:val="18"/>
          <w:szCs w:val="18"/>
        </w:rPr>
        <w:t>Fycompa</w:t>
      </w:r>
      <w:r w:rsidR="00B40001">
        <w:rPr>
          <w:rFonts w:ascii="Arial" w:hAnsi="Arial" w:cs="Arial"/>
          <w:sz w:val="18"/>
          <w:szCs w:val="18"/>
        </w:rPr>
        <w:t>®</w:t>
      </w:r>
      <w:r w:rsidRPr="00616C97">
        <w:rPr>
          <w:rFonts w:ascii="Arial" w:hAnsi="Arial" w:cs="Arial"/>
          <w:sz w:val="18"/>
          <w:szCs w:val="18"/>
        </w:rPr>
        <w:t>, a non-competitive AMPA glutamate receptor antagonist, is indicated as adjunctive therapy for the treatment of partial-onset seizures with or without secondarily generalized seizures in patients with epilepsy aged 12 years and older.</w:t>
      </w:r>
      <w:r w:rsidR="00616C97" w:rsidRPr="00616C97">
        <w:rPr>
          <w:rFonts w:ascii="Arial" w:hAnsi="Arial" w:cs="Arial"/>
          <w:sz w:val="18"/>
          <w:szCs w:val="18"/>
        </w:rPr>
        <w:t xml:space="preserve"> The recommended starting dosage of Fycompa</w:t>
      </w:r>
      <w:r w:rsidR="00B40001">
        <w:rPr>
          <w:rFonts w:ascii="Arial" w:hAnsi="Arial" w:cs="Arial"/>
          <w:sz w:val="18"/>
          <w:szCs w:val="18"/>
        </w:rPr>
        <w:t>®</w:t>
      </w:r>
      <w:r w:rsidR="00616C97" w:rsidRPr="00616C97">
        <w:rPr>
          <w:rFonts w:ascii="Arial" w:hAnsi="Arial" w:cs="Arial"/>
          <w:sz w:val="18"/>
          <w:szCs w:val="18"/>
        </w:rPr>
        <w:t xml:space="preserve"> is 2 mg once daily taken orally at bedtime. Increase dosage by 2 mg per day increments no more frequently than every week to a dose of 4 mg to 8 mg once daily taken at bedtime. In elderly patients, dosage increases during titration are recommended no more frequently than </w:t>
      </w:r>
      <w:r w:rsidR="008C0432">
        <w:rPr>
          <w:rFonts w:ascii="Arial" w:hAnsi="Arial" w:cs="Arial"/>
          <w:sz w:val="18"/>
          <w:szCs w:val="18"/>
        </w:rPr>
        <w:t>every two weeks.</w:t>
      </w:r>
      <w:r w:rsidR="00616C97" w:rsidRPr="00616C97">
        <w:rPr>
          <w:rFonts w:ascii="Arial" w:hAnsi="Arial" w:cs="Arial"/>
          <w:sz w:val="18"/>
          <w:szCs w:val="18"/>
        </w:rPr>
        <w:t xml:space="preserve"> The recommended dose range is 8 mg to 12 mg once daily. A dose of 12 mg once daily resulted in somewhat greater reductions in seizure rates than the dose of 8 mg once daily, but with a substantial increase in adverse reactions.</w:t>
      </w:r>
      <w:r w:rsidR="008C0432">
        <w:rPr>
          <w:rFonts w:ascii="Arial" w:hAnsi="Arial" w:cs="Arial"/>
          <w:sz w:val="18"/>
          <w:szCs w:val="18"/>
        </w:rPr>
        <w:t xml:space="preserve"> </w:t>
      </w:r>
      <w:r w:rsidR="00616C97" w:rsidRPr="00616C97">
        <w:rPr>
          <w:rFonts w:ascii="Arial" w:hAnsi="Arial" w:cs="Arial"/>
          <w:sz w:val="18"/>
          <w:szCs w:val="18"/>
        </w:rPr>
        <w:t>The recommended starting dosage of Fycompa</w:t>
      </w:r>
      <w:r w:rsidR="00B40001">
        <w:rPr>
          <w:rFonts w:ascii="Arial" w:hAnsi="Arial" w:cs="Arial"/>
          <w:sz w:val="18"/>
          <w:szCs w:val="18"/>
        </w:rPr>
        <w:t>®</w:t>
      </w:r>
      <w:r w:rsidR="00616C97" w:rsidRPr="00616C97">
        <w:rPr>
          <w:rFonts w:ascii="Arial" w:hAnsi="Arial" w:cs="Arial"/>
          <w:sz w:val="18"/>
          <w:szCs w:val="18"/>
        </w:rPr>
        <w:t xml:space="preserve"> in the presence of enzyme-inducing AEDs, including phenytoin, carbamazepine, and oxcarbazepine, is 4 mg</w:t>
      </w:r>
      <w:r w:rsidR="0077395D">
        <w:rPr>
          <w:rFonts w:ascii="Arial" w:hAnsi="Arial" w:cs="Arial"/>
          <w:sz w:val="18"/>
          <w:szCs w:val="18"/>
        </w:rPr>
        <w:t>,</w:t>
      </w:r>
      <w:r w:rsidR="00616C97" w:rsidRPr="00616C97">
        <w:rPr>
          <w:rFonts w:ascii="Arial" w:hAnsi="Arial" w:cs="Arial"/>
          <w:sz w:val="18"/>
          <w:szCs w:val="18"/>
        </w:rPr>
        <w:t xml:space="preserve"> and patients should be monitored closely for response. Clinical trials revealed a substantially reduced effect on seizure rates in these patients.</w:t>
      </w:r>
    </w:p>
    <w:p w:rsidR="009408F8" w:rsidRDefault="009408F8" w:rsidP="00616C97">
      <w:pPr>
        <w:pStyle w:val="ListParagraph"/>
        <w:ind w:left="1440"/>
        <w:rPr>
          <w:rFonts w:ascii="Arial" w:hAnsi="Arial" w:cs="Arial"/>
          <w:sz w:val="18"/>
          <w:szCs w:val="18"/>
        </w:rPr>
      </w:pPr>
    </w:p>
    <w:p w:rsidR="00616C97" w:rsidRDefault="00616C97" w:rsidP="00616C97">
      <w:pPr>
        <w:pStyle w:val="ListParagraph"/>
        <w:ind w:left="1440"/>
        <w:rPr>
          <w:rFonts w:ascii="Arial" w:hAnsi="Arial" w:cs="Arial"/>
          <w:sz w:val="18"/>
          <w:szCs w:val="18"/>
        </w:rPr>
      </w:pPr>
      <w:r>
        <w:rPr>
          <w:rFonts w:ascii="Arial" w:hAnsi="Arial" w:cs="Arial"/>
          <w:sz w:val="18"/>
          <w:szCs w:val="18"/>
        </w:rPr>
        <w:t>The reimbursement rate of Fycompa</w:t>
      </w:r>
      <w:r w:rsidR="00B40001">
        <w:rPr>
          <w:rFonts w:ascii="Arial" w:hAnsi="Arial" w:cs="Arial"/>
          <w:sz w:val="18"/>
          <w:szCs w:val="18"/>
        </w:rPr>
        <w:t>®</w:t>
      </w:r>
      <w:r>
        <w:rPr>
          <w:rFonts w:ascii="Arial" w:hAnsi="Arial" w:cs="Arial"/>
          <w:sz w:val="18"/>
          <w:szCs w:val="18"/>
        </w:rPr>
        <w:t xml:space="preserve"> is as follows:  the </w:t>
      </w:r>
      <w:r w:rsidRPr="00616C97">
        <w:rPr>
          <w:rFonts w:ascii="Arial" w:hAnsi="Arial" w:cs="Arial"/>
          <w:sz w:val="18"/>
          <w:szCs w:val="18"/>
        </w:rPr>
        <w:t xml:space="preserve">2 mg tablet </w:t>
      </w:r>
      <w:r>
        <w:rPr>
          <w:rFonts w:ascii="Arial" w:hAnsi="Arial" w:cs="Arial"/>
          <w:sz w:val="18"/>
          <w:szCs w:val="18"/>
        </w:rPr>
        <w:t>is</w:t>
      </w:r>
      <w:r w:rsidRPr="00616C97">
        <w:rPr>
          <w:rFonts w:ascii="Arial" w:hAnsi="Arial" w:cs="Arial"/>
          <w:sz w:val="18"/>
          <w:szCs w:val="18"/>
        </w:rPr>
        <w:t xml:space="preserve"> $9.7</w:t>
      </w:r>
      <w:r>
        <w:rPr>
          <w:rFonts w:ascii="Arial" w:hAnsi="Arial" w:cs="Arial"/>
          <w:sz w:val="18"/>
          <w:szCs w:val="18"/>
        </w:rPr>
        <w:t>9 each ($303.49 / 31 day- supply)</w:t>
      </w:r>
      <w:r w:rsidRPr="00616C97">
        <w:rPr>
          <w:rFonts w:ascii="Arial" w:hAnsi="Arial" w:cs="Arial"/>
          <w:sz w:val="18"/>
          <w:szCs w:val="18"/>
        </w:rPr>
        <w:t xml:space="preserve">; </w:t>
      </w:r>
      <w:r>
        <w:rPr>
          <w:rFonts w:ascii="Arial" w:hAnsi="Arial" w:cs="Arial"/>
          <w:sz w:val="18"/>
          <w:szCs w:val="18"/>
        </w:rPr>
        <w:t xml:space="preserve">the </w:t>
      </w:r>
      <w:r w:rsidRPr="00616C97">
        <w:rPr>
          <w:rFonts w:ascii="Arial" w:hAnsi="Arial" w:cs="Arial"/>
          <w:sz w:val="18"/>
          <w:szCs w:val="18"/>
        </w:rPr>
        <w:t>4 mg, 6 mg, 8 mg, 10 mg, and 12 mg tablets are all $19.5</w:t>
      </w:r>
      <w:r>
        <w:rPr>
          <w:rFonts w:ascii="Arial" w:hAnsi="Arial" w:cs="Arial"/>
          <w:sz w:val="18"/>
          <w:szCs w:val="18"/>
        </w:rPr>
        <w:t>7 each ($606.67 / 31-day supply).</w:t>
      </w:r>
    </w:p>
    <w:p w:rsidR="00616C97" w:rsidRDefault="00616C97" w:rsidP="00616C97">
      <w:pPr>
        <w:pStyle w:val="ListParagraph"/>
        <w:ind w:left="1440"/>
        <w:rPr>
          <w:rFonts w:ascii="Arial" w:hAnsi="Arial" w:cs="Arial"/>
          <w:sz w:val="18"/>
          <w:szCs w:val="18"/>
        </w:rPr>
      </w:pPr>
    </w:p>
    <w:p w:rsidR="00F355DA" w:rsidRDefault="00616C97" w:rsidP="00B40001">
      <w:pPr>
        <w:pStyle w:val="ListParagraph"/>
        <w:ind w:left="1080"/>
        <w:rPr>
          <w:rFonts w:ascii="Arial" w:hAnsi="Arial" w:cs="Arial"/>
          <w:sz w:val="18"/>
          <w:szCs w:val="18"/>
        </w:rPr>
      </w:pPr>
      <w:r w:rsidRPr="00464DAF">
        <w:rPr>
          <w:rFonts w:ascii="Arial" w:hAnsi="Arial" w:cs="Arial"/>
          <w:sz w:val="18"/>
          <w:szCs w:val="18"/>
        </w:rPr>
        <w:t xml:space="preserve">Manual Review PA will be required for all requests </w:t>
      </w:r>
      <w:r>
        <w:rPr>
          <w:rFonts w:ascii="Arial" w:hAnsi="Arial" w:cs="Arial"/>
          <w:sz w:val="18"/>
          <w:szCs w:val="18"/>
        </w:rPr>
        <w:t xml:space="preserve">for Fycompa </w:t>
      </w:r>
      <w:r w:rsidR="00B40001" w:rsidRPr="00B40001">
        <w:rPr>
          <w:rFonts w:ascii="Arial" w:hAnsi="Arial" w:cs="Arial"/>
          <w:sz w:val="18"/>
          <w:szCs w:val="18"/>
        </w:rPr>
        <w:t>®</w:t>
      </w:r>
      <w:r w:rsidR="005A19B2">
        <w:rPr>
          <w:rFonts w:ascii="Arial" w:hAnsi="Arial" w:cs="Arial"/>
          <w:sz w:val="18"/>
          <w:szCs w:val="18"/>
        </w:rPr>
        <w:t xml:space="preserve"> </w:t>
      </w:r>
      <w:r>
        <w:rPr>
          <w:rFonts w:ascii="Arial" w:hAnsi="Arial" w:cs="Arial"/>
          <w:sz w:val="18"/>
          <w:szCs w:val="18"/>
        </w:rPr>
        <w:t xml:space="preserve">tablets </w:t>
      </w:r>
      <w:r w:rsidRPr="00464DAF">
        <w:rPr>
          <w:rFonts w:ascii="Arial" w:hAnsi="Arial" w:cs="Arial"/>
          <w:sz w:val="18"/>
          <w:szCs w:val="18"/>
        </w:rPr>
        <w:t>and will be reviewed on a case-by-case basis.</w:t>
      </w:r>
      <w:r w:rsidR="008C0432">
        <w:rPr>
          <w:rFonts w:ascii="Arial" w:hAnsi="Arial" w:cs="Arial"/>
          <w:sz w:val="18"/>
          <w:szCs w:val="18"/>
        </w:rPr>
        <w:t xml:space="preserve"> </w:t>
      </w:r>
      <w:r>
        <w:rPr>
          <w:rFonts w:ascii="Arial" w:hAnsi="Arial" w:cs="Arial"/>
          <w:sz w:val="18"/>
          <w:szCs w:val="18"/>
        </w:rPr>
        <w:t>In addition,</w:t>
      </w:r>
      <w:r w:rsidRPr="00616C97">
        <w:rPr>
          <w:rFonts w:ascii="Arial" w:hAnsi="Arial" w:cs="Arial"/>
          <w:sz w:val="18"/>
          <w:szCs w:val="18"/>
        </w:rPr>
        <w:t xml:space="preserve"> </w:t>
      </w:r>
      <w:r>
        <w:rPr>
          <w:rFonts w:ascii="Arial" w:hAnsi="Arial" w:cs="Arial"/>
          <w:sz w:val="18"/>
          <w:szCs w:val="18"/>
        </w:rPr>
        <w:t>a</w:t>
      </w:r>
      <w:r w:rsidRPr="00616C97">
        <w:rPr>
          <w:rFonts w:ascii="Arial" w:hAnsi="Arial" w:cs="Arial"/>
          <w:sz w:val="18"/>
          <w:szCs w:val="18"/>
        </w:rPr>
        <w:t xml:space="preserve"> quantity edit </w:t>
      </w:r>
      <w:r>
        <w:rPr>
          <w:rFonts w:ascii="Arial" w:hAnsi="Arial" w:cs="Arial"/>
          <w:sz w:val="18"/>
          <w:szCs w:val="18"/>
        </w:rPr>
        <w:t xml:space="preserve">is applied </w:t>
      </w:r>
      <w:r w:rsidRPr="00616C97">
        <w:rPr>
          <w:rFonts w:ascii="Arial" w:hAnsi="Arial" w:cs="Arial"/>
          <w:sz w:val="18"/>
          <w:szCs w:val="18"/>
        </w:rPr>
        <w:t xml:space="preserve">of </w:t>
      </w:r>
      <w:r w:rsidR="0077395D">
        <w:rPr>
          <w:rFonts w:ascii="Arial" w:hAnsi="Arial" w:cs="Arial"/>
          <w:sz w:val="18"/>
          <w:szCs w:val="18"/>
        </w:rPr>
        <w:t>one (</w:t>
      </w:r>
      <w:r w:rsidRPr="00616C97">
        <w:rPr>
          <w:rFonts w:ascii="Arial" w:hAnsi="Arial" w:cs="Arial"/>
          <w:sz w:val="18"/>
          <w:szCs w:val="18"/>
        </w:rPr>
        <w:t>1</w:t>
      </w:r>
      <w:r w:rsidR="0077395D">
        <w:rPr>
          <w:rFonts w:ascii="Arial" w:hAnsi="Arial" w:cs="Arial"/>
          <w:sz w:val="18"/>
          <w:szCs w:val="18"/>
        </w:rPr>
        <w:t xml:space="preserve">) </w:t>
      </w:r>
      <w:r w:rsidRPr="00616C97">
        <w:rPr>
          <w:rFonts w:ascii="Arial" w:hAnsi="Arial" w:cs="Arial"/>
          <w:sz w:val="18"/>
          <w:szCs w:val="18"/>
        </w:rPr>
        <w:t xml:space="preserve">tablet per day on each strength tablet and a cumulative quantity edit of 31 per 31 days for </w:t>
      </w:r>
      <w:r>
        <w:rPr>
          <w:rFonts w:ascii="Arial" w:hAnsi="Arial" w:cs="Arial"/>
          <w:sz w:val="18"/>
          <w:szCs w:val="18"/>
        </w:rPr>
        <w:t>each strength</w:t>
      </w:r>
      <w:r w:rsidR="00F355DA">
        <w:rPr>
          <w:rFonts w:ascii="Arial" w:hAnsi="Arial" w:cs="Arial"/>
          <w:sz w:val="18"/>
          <w:szCs w:val="18"/>
        </w:rPr>
        <w:t xml:space="preserve"> tablet.</w:t>
      </w:r>
    </w:p>
    <w:p w:rsidR="00F355DA" w:rsidRDefault="00F355DA" w:rsidP="00616C97">
      <w:pPr>
        <w:pStyle w:val="ListParagraph"/>
        <w:ind w:left="1440"/>
        <w:rPr>
          <w:rFonts w:ascii="Arial" w:hAnsi="Arial" w:cs="Arial"/>
          <w:sz w:val="18"/>
          <w:szCs w:val="18"/>
        </w:rPr>
      </w:pPr>
    </w:p>
    <w:p w:rsidR="00F355DA" w:rsidRDefault="00F355DA" w:rsidP="00F355DA">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8C0432">
        <w:rPr>
          <w:rFonts w:ascii="Arial" w:hAnsi="Arial" w:cs="Arial"/>
          <w:b/>
          <w:sz w:val="18"/>
          <w:szCs w:val="18"/>
        </w:rPr>
        <w:t>.</w:t>
      </w:r>
    </w:p>
    <w:p w:rsidR="000738E0" w:rsidRDefault="000738E0" w:rsidP="000738E0">
      <w:pPr>
        <w:rPr>
          <w:rFonts w:ascii="Arial" w:hAnsi="Arial" w:cs="Arial"/>
          <w:sz w:val="18"/>
          <w:szCs w:val="18"/>
        </w:rPr>
      </w:pPr>
    </w:p>
    <w:p w:rsidR="00853750" w:rsidRPr="000738E0" w:rsidRDefault="00853750" w:rsidP="000738E0">
      <w:pPr>
        <w:pStyle w:val="ListParagraph"/>
        <w:numPr>
          <w:ilvl w:val="1"/>
          <w:numId w:val="6"/>
        </w:numPr>
        <w:rPr>
          <w:rFonts w:ascii="Arial" w:hAnsi="Arial" w:cs="Arial"/>
          <w:b/>
          <w:sz w:val="18"/>
          <w:szCs w:val="18"/>
          <w:u w:val="single"/>
        </w:rPr>
      </w:pPr>
      <w:r w:rsidRPr="000738E0">
        <w:rPr>
          <w:rFonts w:ascii="Arial" w:hAnsi="Arial" w:cs="Arial"/>
          <w:b/>
          <w:sz w:val="18"/>
          <w:szCs w:val="18"/>
          <w:u w:val="single"/>
        </w:rPr>
        <w:lastRenderedPageBreak/>
        <w:t xml:space="preserve">Phosphate removing agents: </w:t>
      </w:r>
      <w:r w:rsidR="00845C1E">
        <w:rPr>
          <w:rFonts w:ascii="Arial" w:hAnsi="Arial" w:cs="Arial"/>
          <w:b/>
          <w:sz w:val="18"/>
          <w:szCs w:val="18"/>
          <w:u w:val="single"/>
        </w:rPr>
        <w:t>Fosrenol</w:t>
      </w:r>
      <w:r w:rsidR="00BD034D">
        <w:rPr>
          <w:rFonts w:ascii="Arial" w:hAnsi="Arial" w:cs="Arial"/>
          <w:b/>
          <w:sz w:val="18"/>
          <w:szCs w:val="18"/>
          <w:u w:val="single"/>
        </w:rPr>
        <w:t>®</w:t>
      </w:r>
      <w:r w:rsidR="00845C1E">
        <w:rPr>
          <w:rFonts w:ascii="Arial" w:hAnsi="Arial" w:cs="Arial"/>
          <w:b/>
          <w:sz w:val="18"/>
          <w:szCs w:val="18"/>
          <w:u w:val="single"/>
        </w:rPr>
        <w:t xml:space="preserve"> (lanthanum carbonate) 500 mg, 750 mg, 1000 mg chew tablets; </w:t>
      </w:r>
      <w:r w:rsidRPr="000738E0">
        <w:rPr>
          <w:rFonts w:ascii="Arial" w:hAnsi="Arial" w:cs="Arial"/>
          <w:b/>
          <w:sz w:val="18"/>
          <w:szCs w:val="18"/>
          <w:u w:val="single"/>
        </w:rPr>
        <w:t>Velphoro® (sucroferric oxyhydroxide) 500 mg chew tablets; Renvela</w:t>
      </w:r>
      <w:r w:rsidR="00BD034D">
        <w:rPr>
          <w:rFonts w:ascii="Arial" w:hAnsi="Arial" w:cs="Arial"/>
          <w:b/>
          <w:sz w:val="18"/>
          <w:szCs w:val="18"/>
          <w:u w:val="single"/>
        </w:rPr>
        <w:t>®</w:t>
      </w:r>
      <w:r w:rsidRPr="000738E0">
        <w:rPr>
          <w:rFonts w:ascii="Arial" w:hAnsi="Arial" w:cs="Arial"/>
          <w:b/>
          <w:sz w:val="18"/>
          <w:szCs w:val="18"/>
          <w:u w:val="single"/>
        </w:rPr>
        <w:t xml:space="preserve"> (sevelamer carbonate)</w:t>
      </w:r>
      <w:r w:rsidR="00845C1E">
        <w:rPr>
          <w:rFonts w:ascii="Arial" w:hAnsi="Arial" w:cs="Arial"/>
          <w:b/>
          <w:sz w:val="18"/>
          <w:szCs w:val="18"/>
          <w:u w:val="single"/>
        </w:rPr>
        <w:t xml:space="preserve"> 0.8 gm and 2.4 gm powder packet:</w:t>
      </w:r>
    </w:p>
    <w:p w:rsidR="00853750" w:rsidRDefault="00853750" w:rsidP="00853750">
      <w:pPr>
        <w:pStyle w:val="ListParagraph"/>
        <w:ind w:left="1440"/>
        <w:rPr>
          <w:rFonts w:ascii="Arial" w:hAnsi="Arial" w:cs="Arial"/>
          <w:b/>
          <w:sz w:val="18"/>
          <w:szCs w:val="18"/>
          <w:u w:val="single"/>
        </w:rPr>
      </w:pPr>
    </w:p>
    <w:p w:rsidR="00853750" w:rsidRDefault="00D5123F" w:rsidP="00853750">
      <w:pPr>
        <w:pStyle w:val="ListParagraph"/>
        <w:ind w:left="1440"/>
        <w:rPr>
          <w:rFonts w:ascii="Arial" w:hAnsi="Arial" w:cs="Arial"/>
          <w:sz w:val="18"/>
          <w:szCs w:val="18"/>
        </w:rPr>
      </w:pPr>
      <w:r>
        <w:rPr>
          <w:rFonts w:ascii="Arial" w:hAnsi="Arial" w:cs="Arial"/>
          <w:sz w:val="18"/>
          <w:szCs w:val="18"/>
        </w:rPr>
        <w:t xml:space="preserve">Calcium </w:t>
      </w:r>
      <w:r w:rsidR="0077395D">
        <w:rPr>
          <w:rFonts w:ascii="Arial" w:hAnsi="Arial" w:cs="Arial"/>
          <w:sz w:val="18"/>
          <w:szCs w:val="18"/>
        </w:rPr>
        <w:t>a</w:t>
      </w:r>
      <w:r>
        <w:rPr>
          <w:rFonts w:ascii="Arial" w:hAnsi="Arial" w:cs="Arial"/>
          <w:sz w:val="18"/>
          <w:szCs w:val="18"/>
        </w:rPr>
        <w:t>cetate (various brands</w:t>
      </w:r>
      <w:r w:rsidR="00853750" w:rsidRPr="00035F56">
        <w:rPr>
          <w:rFonts w:ascii="Arial" w:hAnsi="Arial" w:cs="Arial"/>
          <w:sz w:val="18"/>
          <w:szCs w:val="18"/>
        </w:rPr>
        <w:t>) and Fosrenol (lanthanum carbonate) are phosphate binder agents indicated to reduce serum phosphorus in patients with end stage renal disease (ESRD).</w:t>
      </w:r>
      <w:r w:rsidR="00853750">
        <w:rPr>
          <w:rFonts w:ascii="Arial" w:hAnsi="Arial" w:cs="Arial"/>
          <w:sz w:val="18"/>
          <w:szCs w:val="18"/>
        </w:rPr>
        <w:t xml:space="preserve">  </w:t>
      </w:r>
      <w:r w:rsidR="00853750" w:rsidRPr="00035F56">
        <w:rPr>
          <w:rFonts w:ascii="Arial" w:hAnsi="Arial" w:cs="Arial"/>
          <w:sz w:val="18"/>
          <w:szCs w:val="18"/>
        </w:rPr>
        <w:t>Velphoro (sucroferric oxy</w:t>
      </w:r>
      <w:r w:rsidR="0077395D">
        <w:rPr>
          <w:rFonts w:ascii="Arial" w:hAnsi="Arial" w:cs="Arial"/>
          <w:sz w:val="18"/>
          <w:szCs w:val="18"/>
        </w:rPr>
        <w:t>h</w:t>
      </w:r>
      <w:r w:rsidR="00853750" w:rsidRPr="00035F56">
        <w:rPr>
          <w:rFonts w:ascii="Arial" w:hAnsi="Arial" w:cs="Arial"/>
          <w:sz w:val="18"/>
          <w:szCs w:val="18"/>
        </w:rPr>
        <w:t>ydroxide) is a phosphate binder indicated for the control of serum phosphorus levels in patients with chronic kidney disease on dialysis</w:t>
      </w:r>
      <w:r w:rsidR="00853750">
        <w:rPr>
          <w:rFonts w:ascii="Arial" w:hAnsi="Arial" w:cs="Arial"/>
          <w:sz w:val="18"/>
          <w:szCs w:val="18"/>
        </w:rPr>
        <w:t xml:space="preserve">.  </w:t>
      </w:r>
      <w:r w:rsidRPr="00035F56">
        <w:rPr>
          <w:rFonts w:ascii="Arial" w:hAnsi="Arial" w:cs="Arial"/>
          <w:sz w:val="18"/>
          <w:szCs w:val="18"/>
        </w:rPr>
        <w:t>Renagel</w:t>
      </w:r>
      <w:r w:rsidR="00853750" w:rsidRPr="00035F56">
        <w:rPr>
          <w:rFonts w:ascii="Arial" w:hAnsi="Arial" w:cs="Arial"/>
          <w:sz w:val="18"/>
          <w:szCs w:val="18"/>
        </w:rPr>
        <w:t>® (sevelamer hydrochloride) is indicated for the control of serum phosphorus in patients with chronic kidney disease (CKD) on dialysis. The safety and efficacy of Renagel</w:t>
      </w:r>
      <w:r w:rsidR="0077395D" w:rsidRPr="00035F56">
        <w:rPr>
          <w:rFonts w:ascii="Arial" w:hAnsi="Arial" w:cs="Arial"/>
          <w:sz w:val="18"/>
          <w:szCs w:val="18"/>
        </w:rPr>
        <w:t>®</w:t>
      </w:r>
      <w:r w:rsidR="00853750" w:rsidRPr="00035F56">
        <w:rPr>
          <w:rFonts w:ascii="Arial" w:hAnsi="Arial" w:cs="Arial"/>
          <w:sz w:val="18"/>
          <w:szCs w:val="18"/>
        </w:rPr>
        <w:t xml:space="preserve"> in CKD patients who are not on d</w:t>
      </w:r>
      <w:r w:rsidR="008C0432">
        <w:rPr>
          <w:rFonts w:ascii="Arial" w:hAnsi="Arial" w:cs="Arial"/>
          <w:sz w:val="18"/>
          <w:szCs w:val="18"/>
        </w:rPr>
        <w:t xml:space="preserve">ialysis have not been studied. </w:t>
      </w:r>
      <w:r w:rsidR="00853750" w:rsidRPr="00035F56">
        <w:rPr>
          <w:rFonts w:ascii="Arial" w:hAnsi="Arial" w:cs="Arial"/>
          <w:sz w:val="18"/>
          <w:szCs w:val="18"/>
        </w:rPr>
        <w:t>Renvela® (sevelamer carbonate) is indicated for the control of serum phosphorus in patients with chronic kidney disease (CKD) on dialysis.</w:t>
      </w:r>
    </w:p>
    <w:p w:rsidR="00853750" w:rsidRDefault="00853750" w:rsidP="00853750">
      <w:pPr>
        <w:pStyle w:val="ListParagraph"/>
        <w:ind w:left="1440"/>
        <w:rPr>
          <w:rFonts w:ascii="Arial" w:hAnsi="Arial" w:cs="Arial"/>
          <w:sz w:val="18"/>
          <w:szCs w:val="18"/>
        </w:rPr>
      </w:pPr>
    </w:p>
    <w:p w:rsidR="00853750" w:rsidRDefault="00853750" w:rsidP="00853750">
      <w:pPr>
        <w:pStyle w:val="ListParagraph"/>
        <w:ind w:left="1440"/>
        <w:rPr>
          <w:rFonts w:ascii="Arial" w:hAnsi="Arial" w:cs="Arial"/>
          <w:sz w:val="18"/>
          <w:szCs w:val="18"/>
        </w:rPr>
      </w:pPr>
      <w:r w:rsidRPr="00035F56">
        <w:rPr>
          <w:rFonts w:ascii="Arial" w:hAnsi="Arial" w:cs="Arial"/>
          <w:sz w:val="18"/>
          <w:szCs w:val="18"/>
        </w:rPr>
        <w:t>The Clinical Journal of the American Society of Nephrology (CJASN) published “Comparative Effectiveness of Calcium-Containing Phosphate Binders in Incident U.S. Dialysis Patients” and stated:  “…there is no conclusive support in favor of lowering phosphorus in dialysis patients using oral binder medications. If a provider were compelled to use such a therapy, however, there is currently no hard endpoint evidence in favor of using calcium acetate, sevelamer, or lanthanum instead of the least expensive treatment option, over the-counter calcium carbonate.”</w:t>
      </w:r>
    </w:p>
    <w:p w:rsidR="00853750" w:rsidRDefault="00853750" w:rsidP="00853750">
      <w:pPr>
        <w:pStyle w:val="ListParagraph"/>
        <w:ind w:left="1440"/>
        <w:rPr>
          <w:rFonts w:ascii="Arial" w:hAnsi="Arial" w:cs="Arial"/>
          <w:sz w:val="18"/>
          <w:szCs w:val="18"/>
        </w:rPr>
      </w:pPr>
    </w:p>
    <w:p w:rsidR="00853750" w:rsidRPr="00B40001" w:rsidRDefault="00845C1E" w:rsidP="00B40001">
      <w:pPr>
        <w:pStyle w:val="ListParagraph"/>
        <w:ind w:left="1080"/>
        <w:rPr>
          <w:rFonts w:ascii="Arial" w:hAnsi="Arial" w:cs="Arial"/>
          <w:sz w:val="18"/>
          <w:szCs w:val="18"/>
        </w:rPr>
      </w:pPr>
      <w:r w:rsidRPr="00B40001">
        <w:rPr>
          <w:rFonts w:ascii="Arial" w:hAnsi="Arial" w:cs="Arial"/>
          <w:sz w:val="18"/>
          <w:szCs w:val="18"/>
        </w:rPr>
        <w:t xml:space="preserve">Manual Review PA will be required for all requests </w:t>
      </w:r>
      <w:r w:rsidR="00F355DA" w:rsidRPr="00B40001">
        <w:rPr>
          <w:rFonts w:ascii="Arial" w:hAnsi="Arial" w:cs="Arial"/>
          <w:sz w:val="18"/>
          <w:szCs w:val="18"/>
        </w:rPr>
        <w:t>for Fosrenol</w:t>
      </w:r>
      <w:r w:rsidR="005A19B2">
        <w:rPr>
          <w:rFonts w:ascii="Arial" w:hAnsi="Arial" w:cs="Arial"/>
          <w:sz w:val="18"/>
          <w:szCs w:val="18"/>
        </w:rPr>
        <w:t>®</w:t>
      </w:r>
      <w:r w:rsidRPr="00B40001">
        <w:rPr>
          <w:rFonts w:ascii="Arial" w:hAnsi="Arial" w:cs="Arial"/>
          <w:sz w:val="18"/>
          <w:szCs w:val="18"/>
        </w:rPr>
        <w:t xml:space="preserve"> 500 mg, 750 mg, </w:t>
      </w:r>
      <w:r w:rsidR="00F355DA" w:rsidRPr="00B40001">
        <w:rPr>
          <w:rFonts w:ascii="Arial" w:hAnsi="Arial" w:cs="Arial"/>
          <w:sz w:val="18"/>
          <w:szCs w:val="18"/>
        </w:rPr>
        <w:t xml:space="preserve">and </w:t>
      </w:r>
      <w:r w:rsidRPr="00B40001">
        <w:rPr>
          <w:rFonts w:ascii="Arial" w:hAnsi="Arial" w:cs="Arial"/>
          <w:sz w:val="18"/>
          <w:szCs w:val="18"/>
        </w:rPr>
        <w:t>1000 mg chew tablets</w:t>
      </w:r>
      <w:r w:rsidR="00F355DA" w:rsidRPr="00B40001">
        <w:rPr>
          <w:rFonts w:ascii="Arial" w:hAnsi="Arial" w:cs="Arial"/>
          <w:sz w:val="18"/>
          <w:szCs w:val="18"/>
        </w:rPr>
        <w:t>;</w:t>
      </w:r>
      <w:r w:rsidRPr="00B40001">
        <w:rPr>
          <w:rFonts w:ascii="Arial" w:hAnsi="Arial" w:cs="Arial"/>
          <w:sz w:val="18"/>
          <w:szCs w:val="18"/>
        </w:rPr>
        <w:t xml:space="preserve"> Velphoro</w:t>
      </w:r>
      <w:r w:rsidR="005A19B2">
        <w:rPr>
          <w:rFonts w:ascii="Arial" w:hAnsi="Arial" w:cs="Arial"/>
          <w:sz w:val="18"/>
          <w:szCs w:val="18"/>
        </w:rPr>
        <w:t>®</w:t>
      </w:r>
      <w:r w:rsidRPr="00B40001">
        <w:rPr>
          <w:rFonts w:ascii="Arial" w:hAnsi="Arial" w:cs="Arial"/>
          <w:sz w:val="18"/>
          <w:szCs w:val="18"/>
        </w:rPr>
        <w:t xml:space="preserve"> 500 mg chew tablets</w:t>
      </w:r>
      <w:r w:rsidR="00F355DA" w:rsidRPr="00B40001">
        <w:rPr>
          <w:rFonts w:ascii="Arial" w:hAnsi="Arial" w:cs="Arial"/>
          <w:sz w:val="18"/>
          <w:szCs w:val="18"/>
        </w:rPr>
        <w:t>;</w:t>
      </w:r>
      <w:r w:rsidRPr="00B40001">
        <w:rPr>
          <w:rFonts w:ascii="Arial" w:hAnsi="Arial" w:cs="Arial"/>
          <w:sz w:val="18"/>
          <w:szCs w:val="18"/>
        </w:rPr>
        <w:t xml:space="preserve"> and Renvela</w:t>
      </w:r>
      <w:r w:rsidR="005A19B2">
        <w:rPr>
          <w:rFonts w:ascii="Arial" w:hAnsi="Arial" w:cs="Arial"/>
          <w:sz w:val="18"/>
          <w:szCs w:val="18"/>
        </w:rPr>
        <w:t>®</w:t>
      </w:r>
      <w:r w:rsidRPr="00B40001">
        <w:rPr>
          <w:rFonts w:ascii="Arial" w:hAnsi="Arial" w:cs="Arial"/>
          <w:sz w:val="18"/>
          <w:szCs w:val="18"/>
        </w:rPr>
        <w:t xml:space="preserve"> 0.8 gm and 2.4 gm powder packets</w:t>
      </w:r>
      <w:r w:rsidR="00F355DA" w:rsidRPr="00B40001">
        <w:rPr>
          <w:rFonts w:ascii="Arial" w:hAnsi="Arial" w:cs="Arial"/>
          <w:sz w:val="18"/>
          <w:szCs w:val="18"/>
        </w:rPr>
        <w:t>,</w:t>
      </w:r>
      <w:r w:rsidRPr="00B40001">
        <w:rPr>
          <w:rFonts w:ascii="Arial" w:hAnsi="Arial" w:cs="Arial"/>
          <w:sz w:val="18"/>
          <w:szCs w:val="18"/>
        </w:rPr>
        <w:t xml:space="preserve"> on a case-by-case basis.  </w:t>
      </w:r>
      <w:r w:rsidR="00853750" w:rsidRPr="00B40001">
        <w:rPr>
          <w:rFonts w:ascii="Arial" w:hAnsi="Arial" w:cs="Arial"/>
          <w:sz w:val="18"/>
          <w:szCs w:val="18"/>
        </w:rPr>
        <w:t xml:space="preserve">See chart below for reimbursement rate information and </w:t>
      </w:r>
      <w:r w:rsidRPr="00B40001">
        <w:rPr>
          <w:rFonts w:ascii="Arial" w:hAnsi="Arial" w:cs="Arial"/>
          <w:sz w:val="18"/>
          <w:szCs w:val="18"/>
        </w:rPr>
        <w:t xml:space="preserve">the list of </w:t>
      </w:r>
      <w:r w:rsidR="00853750" w:rsidRPr="00B40001">
        <w:rPr>
          <w:rFonts w:ascii="Arial" w:hAnsi="Arial" w:cs="Arial"/>
          <w:sz w:val="18"/>
          <w:szCs w:val="18"/>
        </w:rPr>
        <w:t xml:space="preserve">medications </w:t>
      </w:r>
      <w:r w:rsidRPr="00B40001">
        <w:rPr>
          <w:rFonts w:ascii="Arial" w:hAnsi="Arial" w:cs="Arial"/>
          <w:sz w:val="18"/>
          <w:szCs w:val="18"/>
        </w:rPr>
        <w:t>availab</w:t>
      </w:r>
      <w:r w:rsidR="00B5085B">
        <w:rPr>
          <w:rFonts w:ascii="Arial" w:hAnsi="Arial" w:cs="Arial"/>
          <w:sz w:val="18"/>
          <w:szCs w:val="18"/>
        </w:rPr>
        <w:t>le without prior authorization.</w:t>
      </w:r>
    </w:p>
    <w:p w:rsidR="00853750" w:rsidRDefault="00853750" w:rsidP="00853750">
      <w:pPr>
        <w:pStyle w:val="ListParagraph"/>
        <w:ind w:left="1440"/>
        <w:rPr>
          <w:rFonts w:ascii="Arial" w:hAnsi="Arial" w:cs="Arial"/>
          <w:sz w:val="18"/>
          <w:szCs w:val="18"/>
        </w:rPr>
      </w:pPr>
    </w:p>
    <w:tbl>
      <w:tblPr>
        <w:tblpPr w:leftFromText="180" w:rightFromText="180" w:vertAnchor="text" w:horzAnchor="margin" w:tblpXSpec="right" w:tblpY="70"/>
        <w:tblW w:w="8010" w:type="dxa"/>
        <w:tblLook w:val="04A0"/>
      </w:tblPr>
      <w:tblGrid>
        <w:gridCol w:w="2628"/>
        <w:gridCol w:w="2160"/>
        <w:gridCol w:w="1710"/>
        <w:gridCol w:w="1512"/>
      </w:tblGrid>
      <w:tr w:rsidR="00853750" w:rsidRPr="00853750" w:rsidTr="00F355DA">
        <w:trPr>
          <w:trHeight w:val="710"/>
        </w:trPr>
        <w:tc>
          <w:tcPr>
            <w:tcW w:w="26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3750" w:rsidRPr="00853750" w:rsidRDefault="00853750" w:rsidP="00AB114B">
            <w:pPr>
              <w:jc w:val="center"/>
              <w:rPr>
                <w:rFonts w:ascii="Calibri" w:hAnsi="Calibri"/>
                <w:b/>
                <w:bCs/>
                <w:color w:val="000000"/>
                <w:sz w:val="16"/>
                <w:szCs w:val="16"/>
              </w:rPr>
            </w:pPr>
            <w:r w:rsidRPr="00853750">
              <w:rPr>
                <w:rFonts w:ascii="Calibri" w:hAnsi="Calibri"/>
                <w:b/>
                <w:bCs/>
                <w:color w:val="000000"/>
                <w:sz w:val="16"/>
                <w:szCs w:val="16"/>
              </w:rPr>
              <w:t>BRAND DRUG NAME &amp; STRENGTH</w:t>
            </w:r>
          </w:p>
        </w:tc>
        <w:tc>
          <w:tcPr>
            <w:tcW w:w="2160" w:type="dxa"/>
            <w:tcBorders>
              <w:top w:val="single" w:sz="4" w:space="0" w:color="auto"/>
              <w:left w:val="nil"/>
              <w:bottom w:val="single" w:sz="4" w:space="0" w:color="auto"/>
              <w:right w:val="single" w:sz="4" w:space="0" w:color="auto"/>
            </w:tcBorders>
            <w:shd w:val="clear" w:color="auto" w:fill="auto"/>
            <w:vAlign w:val="bottom"/>
            <w:hideMark/>
          </w:tcPr>
          <w:p w:rsidR="00853750" w:rsidRPr="00853750" w:rsidRDefault="00853750" w:rsidP="00AB114B">
            <w:pPr>
              <w:jc w:val="center"/>
              <w:rPr>
                <w:rFonts w:ascii="Calibri" w:hAnsi="Calibri"/>
                <w:b/>
                <w:bCs/>
                <w:color w:val="000000"/>
                <w:sz w:val="16"/>
                <w:szCs w:val="16"/>
              </w:rPr>
            </w:pPr>
            <w:r w:rsidRPr="00853750">
              <w:rPr>
                <w:rFonts w:ascii="Calibri" w:hAnsi="Calibri"/>
                <w:b/>
                <w:bCs/>
                <w:color w:val="000000"/>
                <w:sz w:val="16"/>
                <w:szCs w:val="16"/>
              </w:rPr>
              <w:t>GENERIC DRUG NAME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853750" w:rsidRPr="00853750" w:rsidRDefault="00853750" w:rsidP="00AB114B">
            <w:pPr>
              <w:jc w:val="center"/>
              <w:rPr>
                <w:rFonts w:ascii="Calibri" w:hAnsi="Calibri"/>
                <w:b/>
                <w:bCs/>
                <w:color w:val="000000"/>
                <w:sz w:val="16"/>
                <w:szCs w:val="16"/>
              </w:rPr>
            </w:pPr>
            <w:r w:rsidRPr="00853750">
              <w:rPr>
                <w:rFonts w:ascii="Calibri" w:hAnsi="Calibri"/>
                <w:b/>
                <w:bCs/>
                <w:color w:val="000000"/>
                <w:sz w:val="16"/>
                <w:szCs w:val="16"/>
              </w:rPr>
              <w:t>Reimbursement Rate per each (per ml,  tab or</w:t>
            </w:r>
            <w:r w:rsidR="00DE75B6">
              <w:rPr>
                <w:rFonts w:ascii="Calibri" w:hAnsi="Calibri"/>
                <w:b/>
                <w:bCs/>
                <w:color w:val="000000"/>
                <w:sz w:val="16"/>
                <w:szCs w:val="16"/>
              </w:rPr>
              <w:t xml:space="preserve"> cap, or powder packet) </w:t>
            </w:r>
            <w:r w:rsidRPr="00853750">
              <w:rPr>
                <w:rFonts w:ascii="Calibri" w:hAnsi="Calibri"/>
                <w:b/>
                <w:bCs/>
                <w:color w:val="000000"/>
                <w:sz w:val="16"/>
                <w:szCs w:val="16"/>
              </w:rPr>
              <w:t>(rounded)</w:t>
            </w:r>
          </w:p>
        </w:tc>
        <w:tc>
          <w:tcPr>
            <w:tcW w:w="1512" w:type="dxa"/>
            <w:tcBorders>
              <w:top w:val="single" w:sz="4" w:space="0" w:color="auto"/>
              <w:left w:val="nil"/>
              <w:bottom w:val="single" w:sz="4" w:space="0" w:color="auto"/>
              <w:right w:val="single" w:sz="4" w:space="0" w:color="auto"/>
            </w:tcBorders>
          </w:tcPr>
          <w:p w:rsidR="00853750" w:rsidRPr="00853750" w:rsidRDefault="00853750" w:rsidP="00AB114B">
            <w:pPr>
              <w:jc w:val="center"/>
              <w:rPr>
                <w:rFonts w:ascii="Calibri" w:hAnsi="Calibri"/>
                <w:b/>
                <w:bCs/>
                <w:color w:val="000000"/>
                <w:sz w:val="16"/>
                <w:szCs w:val="16"/>
              </w:rPr>
            </w:pPr>
          </w:p>
        </w:tc>
      </w:tr>
      <w:tr w:rsidR="00853750" w:rsidRPr="00853750" w:rsidTr="00F355DA">
        <w:trPr>
          <w:trHeight w:val="193"/>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rsidR="00853750" w:rsidRPr="00853750" w:rsidRDefault="00BD034D" w:rsidP="00BD034D">
            <w:pPr>
              <w:rPr>
                <w:rFonts w:ascii="Calibri" w:hAnsi="Calibri"/>
                <w:color w:val="000000"/>
                <w:sz w:val="16"/>
                <w:szCs w:val="16"/>
              </w:rPr>
            </w:pPr>
            <w:r w:rsidRPr="00853750">
              <w:rPr>
                <w:rFonts w:ascii="Calibri" w:hAnsi="Calibri"/>
                <w:color w:val="000000"/>
                <w:sz w:val="16"/>
                <w:szCs w:val="16"/>
              </w:rPr>
              <w:t>Phoslyra</w:t>
            </w:r>
            <w:r>
              <w:rPr>
                <w:rFonts w:ascii="Calibri" w:hAnsi="Calibri"/>
                <w:color w:val="000000"/>
                <w:sz w:val="16"/>
                <w:szCs w:val="16"/>
              </w:rPr>
              <w:t>™</w:t>
            </w:r>
            <w:r w:rsidRPr="00853750">
              <w:rPr>
                <w:rFonts w:ascii="Calibri" w:hAnsi="Calibri"/>
                <w:color w:val="000000"/>
                <w:sz w:val="16"/>
                <w:szCs w:val="16"/>
              </w:rPr>
              <w:t xml:space="preserve"> 667 </w:t>
            </w:r>
            <w:r>
              <w:rPr>
                <w:rFonts w:ascii="Calibri" w:hAnsi="Calibri"/>
                <w:color w:val="000000"/>
                <w:sz w:val="16"/>
                <w:szCs w:val="16"/>
              </w:rPr>
              <w:t>m</w:t>
            </w:r>
            <w:r w:rsidRPr="00853750">
              <w:rPr>
                <w:rFonts w:ascii="Calibri" w:hAnsi="Calibri"/>
                <w:color w:val="000000"/>
                <w:sz w:val="16"/>
                <w:szCs w:val="16"/>
              </w:rPr>
              <w:t xml:space="preserve">g/5 </w:t>
            </w:r>
            <w:r>
              <w:rPr>
                <w:rFonts w:ascii="Calibri" w:hAnsi="Calibri"/>
                <w:color w:val="000000"/>
                <w:sz w:val="16"/>
                <w:szCs w:val="16"/>
              </w:rPr>
              <w:t>m</w:t>
            </w:r>
            <w:r w:rsidRPr="00853750">
              <w:rPr>
                <w:rFonts w:ascii="Calibri" w:hAnsi="Calibri"/>
                <w:color w:val="000000"/>
                <w:sz w:val="16"/>
                <w:szCs w:val="16"/>
              </w:rPr>
              <w:t>l Solution</w:t>
            </w:r>
          </w:p>
        </w:tc>
        <w:tc>
          <w:tcPr>
            <w:tcW w:w="2160" w:type="dxa"/>
            <w:tcBorders>
              <w:top w:val="nil"/>
              <w:left w:val="nil"/>
              <w:bottom w:val="single" w:sz="4"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CALCIUM ACETATE</w:t>
            </w:r>
          </w:p>
        </w:tc>
        <w:tc>
          <w:tcPr>
            <w:tcW w:w="1710" w:type="dxa"/>
            <w:tcBorders>
              <w:top w:val="nil"/>
              <w:left w:val="nil"/>
              <w:bottom w:val="single" w:sz="4"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$0.17</w:t>
            </w:r>
          </w:p>
        </w:tc>
        <w:tc>
          <w:tcPr>
            <w:tcW w:w="1512" w:type="dxa"/>
            <w:tcBorders>
              <w:top w:val="nil"/>
              <w:left w:val="nil"/>
              <w:bottom w:val="single" w:sz="4" w:space="0" w:color="auto"/>
              <w:right w:val="single" w:sz="4" w:space="0" w:color="auto"/>
            </w:tcBorders>
            <w:vAlign w:val="center"/>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No PA Required</w:t>
            </w:r>
          </w:p>
        </w:tc>
      </w:tr>
      <w:tr w:rsidR="00853750" w:rsidRPr="00853750" w:rsidTr="00F355DA">
        <w:trPr>
          <w:trHeight w:val="56"/>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rsidR="00853750" w:rsidRPr="00853750" w:rsidRDefault="00BD034D" w:rsidP="00BD034D">
            <w:pPr>
              <w:rPr>
                <w:rFonts w:ascii="Calibri" w:hAnsi="Calibri"/>
                <w:color w:val="000000"/>
                <w:sz w:val="16"/>
                <w:szCs w:val="16"/>
              </w:rPr>
            </w:pPr>
            <w:r w:rsidRPr="00853750">
              <w:rPr>
                <w:rFonts w:ascii="Calibri" w:hAnsi="Calibri"/>
                <w:color w:val="000000"/>
                <w:sz w:val="16"/>
                <w:szCs w:val="16"/>
              </w:rPr>
              <w:t>Eliphos</w:t>
            </w:r>
            <w:r>
              <w:rPr>
                <w:rFonts w:ascii="Arial" w:hAnsi="Arial" w:cs="Arial"/>
                <w:color w:val="000000"/>
                <w:sz w:val="16"/>
                <w:szCs w:val="16"/>
              </w:rPr>
              <w:t>®</w:t>
            </w:r>
            <w:r w:rsidRPr="00853750">
              <w:rPr>
                <w:rFonts w:ascii="Calibri" w:hAnsi="Calibri"/>
                <w:color w:val="000000"/>
                <w:sz w:val="16"/>
                <w:szCs w:val="16"/>
              </w:rPr>
              <w:t xml:space="preserve"> 667 </w:t>
            </w:r>
            <w:r>
              <w:rPr>
                <w:rFonts w:ascii="Calibri" w:hAnsi="Calibri"/>
                <w:color w:val="000000"/>
                <w:sz w:val="16"/>
                <w:szCs w:val="16"/>
              </w:rPr>
              <w:t>m</w:t>
            </w:r>
            <w:r w:rsidRPr="00853750">
              <w:rPr>
                <w:rFonts w:ascii="Calibri" w:hAnsi="Calibri"/>
                <w:color w:val="000000"/>
                <w:sz w:val="16"/>
                <w:szCs w:val="16"/>
              </w:rPr>
              <w:t>g Tablet</w:t>
            </w:r>
          </w:p>
        </w:tc>
        <w:tc>
          <w:tcPr>
            <w:tcW w:w="2160" w:type="dxa"/>
            <w:tcBorders>
              <w:top w:val="nil"/>
              <w:left w:val="nil"/>
              <w:bottom w:val="single" w:sz="4"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CALCIUM ACETATE</w:t>
            </w:r>
          </w:p>
        </w:tc>
        <w:tc>
          <w:tcPr>
            <w:tcW w:w="1710" w:type="dxa"/>
            <w:tcBorders>
              <w:top w:val="nil"/>
              <w:left w:val="nil"/>
              <w:bottom w:val="single" w:sz="4"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$0.49</w:t>
            </w:r>
          </w:p>
        </w:tc>
        <w:tc>
          <w:tcPr>
            <w:tcW w:w="1512" w:type="dxa"/>
            <w:tcBorders>
              <w:top w:val="nil"/>
              <w:left w:val="nil"/>
              <w:bottom w:val="single" w:sz="4" w:space="0" w:color="auto"/>
              <w:right w:val="single" w:sz="4" w:space="0" w:color="auto"/>
            </w:tcBorders>
            <w:vAlign w:val="center"/>
          </w:tcPr>
          <w:p w:rsidR="00853750" w:rsidRPr="00853750" w:rsidRDefault="00853750" w:rsidP="00D5123F">
            <w:pPr>
              <w:jc w:val="center"/>
              <w:rPr>
                <w:sz w:val="16"/>
                <w:szCs w:val="16"/>
              </w:rPr>
            </w:pPr>
            <w:r w:rsidRPr="00853750">
              <w:rPr>
                <w:rFonts w:ascii="Calibri" w:hAnsi="Calibri"/>
                <w:color w:val="000000"/>
                <w:sz w:val="16"/>
                <w:szCs w:val="16"/>
              </w:rPr>
              <w:t>No PA Required</w:t>
            </w:r>
          </w:p>
        </w:tc>
      </w:tr>
      <w:tr w:rsidR="00853750" w:rsidRPr="00853750" w:rsidTr="00F355DA">
        <w:trPr>
          <w:trHeight w:val="173"/>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rsidR="00853750" w:rsidRPr="00853750" w:rsidRDefault="00BD034D" w:rsidP="00BD034D">
            <w:pPr>
              <w:rPr>
                <w:rFonts w:ascii="Calibri" w:hAnsi="Calibri"/>
                <w:color w:val="000000"/>
                <w:sz w:val="16"/>
                <w:szCs w:val="16"/>
              </w:rPr>
            </w:pPr>
            <w:r w:rsidRPr="00853750">
              <w:rPr>
                <w:rFonts w:ascii="Calibri" w:hAnsi="Calibri"/>
                <w:color w:val="000000"/>
                <w:sz w:val="16"/>
                <w:szCs w:val="16"/>
              </w:rPr>
              <w:t xml:space="preserve">Calcium Acetate Capsule 667 </w:t>
            </w:r>
            <w:r>
              <w:rPr>
                <w:rFonts w:ascii="Calibri" w:hAnsi="Calibri"/>
                <w:color w:val="000000"/>
                <w:sz w:val="16"/>
                <w:szCs w:val="16"/>
              </w:rPr>
              <w:t>m</w:t>
            </w:r>
            <w:r w:rsidRPr="00853750">
              <w:rPr>
                <w:rFonts w:ascii="Calibri" w:hAnsi="Calibri"/>
                <w:color w:val="000000"/>
                <w:sz w:val="16"/>
                <w:szCs w:val="16"/>
              </w:rPr>
              <w:t>g</w:t>
            </w:r>
          </w:p>
        </w:tc>
        <w:tc>
          <w:tcPr>
            <w:tcW w:w="2160" w:type="dxa"/>
            <w:tcBorders>
              <w:top w:val="nil"/>
              <w:left w:val="nil"/>
              <w:bottom w:val="single" w:sz="4"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CALCIUM ACETATE</w:t>
            </w:r>
          </w:p>
        </w:tc>
        <w:tc>
          <w:tcPr>
            <w:tcW w:w="1710" w:type="dxa"/>
            <w:tcBorders>
              <w:top w:val="nil"/>
              <w:left w:val="nil"/>
              <w:bottom w:val="single" w:sz="4"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$0.67</w:t>
            </w:r>
          </w:p>
        </w:tc>
        <w:tc>
          <w:tcPr>
            <w:tcW w:w="1512" w:type="dxa"/>
            <w:tcBorders>
              <w:top w:val="nil"/>
              <w:left w:val="nil"/>
              <w:bottom w:val="single" w:sz="4" w:space="0" w:color="auto"/>
              <w:right w:val="single" w:sz="4" w:space="0" w:color="auto"/>
            </w:tcBorders>
            <w:vAlign w:val="center"/>
          </w:tcPr>
          <w:p w:rsidR="00853750" w:rsidRPr="00853750" w:rsidRDefault="00853750" w:rsidP="00D5123F">
            <w:pPr>
              <w:jc w:val="center"/>
              <w:rPr>
                <w:sz w:val="16"/>
                <w:szCs w:val="16"/>
              </w:rPr>
            </w:pPr>
            <w:r w:rsidRPr="00853750">
              <w:rPr>
                <w:rFonts w:ascii="Calibri" w:hAnsi="Calibri"/>
                <w:color w:val="000000"/>
                <w:sz w:val="16"/>
                <w:szCs w:val="16"/>
              </w:rPr>
              <w:t>No PA Required</w:t>
            </w:r>
          </w:p>
        </w:tc>
      </w:tr>
      <w:tr w:rsidR="00853750" w:rsidRPr="00853750" w:rsidTr="00F355DA">
        <w:trPr>
          <w:trHeight w:val="56"/>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rsidR="00853750" w:rsidRPr="00853750" w:rsidRDefault="00853750" w:rsidP="00BD034D">
            <w:pPr>
              <w:rPr>
                <w:rFonts w:ascii="Calibri" w:hAnsi="Calibri"/>
                <w:color w:val="000000"/>
                <w:sz w:val="16"/>
                <w:szCs w:val="16"/>
              </w:rPr>
            </w:pPr>
            <w:r w:rsidRPr="00853750">
              <w:rPr>
                <w:rFonts w:ascii="Calibri" w:hAnsi="Calibri"/>
                <w:color w:val="000000"/>
                <w:sz w:val="16"/>
                <w:szCs w:val="16"/>
              </w:rPr>
              <w:t>P</w:t>
            </w:r>
            <w:r w:rsidR="00BD034D" w:rsidRPr="00853750">
              <w:rPr>
                <w:rFonts w:ascii="Calibri" w:hAnsi="Calibri"/>
                <w:color w:val="000000"/>
                <w:sz w:val="16"/>
                <w:szCs w:val="16"/>
              </w:rPr>
              <w:t>hos</w:t>
            </w:r>
            <w:r w:rsidRPr="00853750">
              <w:rPr>
                <w:rFonts w:ascii="Calibri" w:hAnsi="Calibri"/>
                <w:color w:val="000000"/>
                <w:sz w:val="16"/>
                <w:szCs w:val="16"/>
              </w:rPr>
              <w:t>L</w:t>
            </w:r>
            <w:r w:rsidR="00BD034D" w:rsidRPr="00853750">
              <w:rPr>
                <w:rFonts w:ascii="Calibri" w:hAnsi="Calibri"/>
                <w:color w:val="000000"/>
                <w:sz w:val="16"/>
                <w:szCs w:val="16"/>
              </w:rPr>
              <w:t>o</w:t>
            </w:r>
            <w:r w:rsidR="00BD034D">
              <w:rPr>
                <w:rFonts w:ascii="Arial" w:hAnsi="Arial" w:cs="Arial"/>
                <w:color w:val="000000"/>
                <w:sz w:val="16"/>
                <w:szCs w:val="16"/>
              </w:rPr>
              <w:t>®</w:t>
            </w:r>
            <w:r w:rsidRPr="00853750">
              <w:rPr>
                <w:rFonts w:ascii="Calibri" w:hAnsi="Calibri"/>
                <w:color w:val="000000"/>
                <w:sz w:val="16"/>
                <w:szCs w:val="16"/>
              </w:rPr>
              <w:t xml:space="preserve"> 667 </w:t>
            </w:r>
            <w:r w:rsidR="00BD034D">
              <w:rPr>
                <w:rFonts w:ascii="Calibri" w:hAnsi="Calibri"/>
                <w:color w:val="000000"/>
                <w:sz w:val="16"/>
                <w:szCs w:val="16"/>
              </w:rPr>
              <w:t>m</w:t>
            </w:r>
            <w:r w:rsidR="00BD034D" w:rsidRPr="00853750">
              <w:rPr>
                <w:rFonts w:ascii="Calibri" w:hAnsi="Calibri"/>
                <w:color w:val="000000"/>
                <w:sz w:val="16"/>
                <w:szCs w:val="16"/>
              </w:rPr>
              <w:t>g Gelcap</w:t>
            </w:r>
          </w:p>
        </w:tc>
        <w:tc>
          <w:tcPr>
            <w:tcW w:w="2160" w:type="dxa"/>
            <w:tcBorders>
              <w:top w:val="nil"/>
              <w:left w:val="nil"/>
              <w:bottom w:val="single" w:sz="4"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CALCIUM ACETATE</w:t>
            </w:r>
          </w:p>
        </w:tc>
        <w:tc>
          <w:tcPr>
            <w:tcW w:w="1710" w:type="dxa"/>
            <w:tcBorders>
              <w:top w:val="nil"/>
              <w:left w:val="nil"/>
              <w:bottom w:val="single" w:sz="4"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$0.82</w:t>
            </w:r>
          </w:p>
        </w:tc>
        <w:tc>
          <w:tcPr>
            <w:tcW w:w="1512" w:type="dxa"/>
            <w:tcBorders>
              <w:top w:val="nil"/>
              <w:left w:val="nil"/>
              <w:bottom w:val="single" w:sz="4" w:space="0" w:color="auto"/>
              <w:right w:val="single" w:sz="4" w:space="0" w:color="auto"/>
            </w:tcBorders>
            <w:vAlign w:val="center"/>
          </w:tcPr>
          <w:p w:rsidR="00853750" w:rsidRPr="00853750" w:rsidRDefault="00853750" w:rsidP="00D5123F">
            <w:pPr>
              <w:jc w:val="center"/>
              <w:rPr>
                <w:sz w:val="16"/>
                <w:szCs w:val="16"/>
              </w:rPr>
            </w:pPr>
            <w:r w:rsidRPr="00853750">
              <w:rPr>
                <w:rFonts w:ascii="Calibri" w:hAnsi="Calibri"/>
                <w:color w:val="000000"/>
                <w:sz w:val="16"/>
                <w:szCs w:val="16"/>
              </w:rPr>
              <w:t>No PA Required</w:t>
            </w:r>
          </w:p>
        </w:tc>
      </w:tr>
      <w:tr w:rsidR="00853750" w:rsidRPr="00853750" w:rsidTr="00F355DA">
        <w:trPr>
          <w:trHeight w:val="56"/>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rsidR="00853750" w:rsidRPr="00853750" w:rsidRDefault="00BD034D" w:rsidP="00BD034D">
            <w:pPr>
              <w:rPr>
                <w:rFonts w:ascii="Calibri" w:hAnsi="Calibri"/>
                <w:color w:val="000000"/>
                <w:sz w:val="16"/>
                <w:szCs w:val="16"/>
              </w:rPr>
            </w:pPr>
            <w:r w:rsidRPr="00853750">
              <w:rPr>
                <w:rFonts w:ascii="Calibri" w:hAnsi="Calibri"/>
                <w:color w:val="000000"/>
                <w:sz w:val="16"/>
                <w:szCs w:val="16"/>
              </w:rPr>
              <w:t>Renagel</w:t>
            </w:r>
            <w:r>
              <w:rPr>
                <w:rFonts w:ascii="Arial" w:hAnsi="Arial" w:cs="Arial"/>
                <w:color w:val="000000"/>
                <w:sz w:val="16"/>
                <w:szCs w:val="16"/>
              </w:rPr>
              <w:t>®</w:t>
            </w:r>
            <w:r w:rsidRPr="00853750">
              <w:rPr>
                <w:rFonts w:ascii="Calibri" w:hAnsi="Calibri"/>
                <w:color w:val="000000"/>
                <w:sz w:val="16"/>
                <w:szCs w:val="16"/>
              </w:rPr>
              <w:t xml:space="preserve"> 400 Mg Tablet</w:t>
            </w:r>
          </w:p>
        </w:tc>
        <w:tc>
          <w:tcPr>
            <w:tcW w:w="2160" w:type="dxa"/>
            <w:tcBorders>
              <w:top w:val="nil"/>
              <w:left w:val="nil"/>
              <w:bottom w:val="single" w:sz="4"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SEVELAMER HCl</w:t>
            </w:r>
          </w:p>
        </w:tc>
        <w:tc>
          <w:tcPr>
            <w:tcW w:w="1710" w:type="dxa"/>
            <w:tcBorders>
              <w:top w:val="nil"/>
              <w:left w:val="nil"/>
              <w:bottom w:val="single" w:sz="4"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$2.06</w:t>
            </w:r>
          </w:p>
        </w:tc>
        <w:tc>
          <w:tcPr>
            <w:tcW w:w="1512" w:type="dxa"/>
            <w:tcBorders>
              <w:top w:val="nil"/>
              <w:left w:val="nil"/>
              <w:bottom w:val="single" w:sz="4" w:space="0" w:color="auto"/>
              <w:right w:val="single" w:sz="4" w:space="0" w:color="auto"/>
            </w:tcBorders>
            <w:vAlign w:val="center"/>
          </w:tcPr>
          <w:p w:rsidR="00853750" w:rsidRPr="00853750" w:rsidRDefault="00853750" w:rsidP="00D5123F">
            <w:pPr>
              <w:jc w:val="center"/>
              <w:rPr>
                <w:sz w:val="16"/>
                <w:szCs w:val="16"/>
              </w:rPr>
            </w:pPr>
            <w:r w:rsidRPr="00853750">
              <w:rPr>
                <w:rFonts w:ascii="Calibri" w:hAnsi="Calibri"/>
                <w:color w:val="000000"/>
                <w:sz w:val="16"/>
                <w:szCs w:val="16"/>
              </w:rPr>
              <w:t>No PA Required</w:t>
            </w:r>
          </w:p>
        </w:tc>
      </w:tr>
      <w:tr w:rsidR="00853750" w:rsidRPr="00853750" w:rsidTr="00F355DA">
        <w:trPr>
          <w:trHeight w:val="56"/>
        </w:trPr>
        <w:tc>
          <w:tcPr>
            <w:tcW w:w="2628" w:type="dxa"/>
            <w:tcBorders>
              <w:top w:val="nil"/>
              <w:left w:val="single" w:sz="4" w:space="0" w:color="auto"/>
              <w:bottom w:val="single" w:sz="4" w:space="0" w:color="auto"/>
              <w:right w:val="single" w:sz="4" w:space="0" w:color="auto"/>
            </w:tcBorders>
            <w:shd w:val="clear" w:color="auto"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Renagel</w:t>
            </w:r>
            <w:r w:rsidR="00143299">
              <w:rPr>
                <w:rFonts w:ascii="Arial" w:hAnsi="Arial" w:cs="Arial"/>
                <w:color w:val="000000"/>
                <w:sz w:val="16"/>
                <w:szCs w:val="16"/>
              </w:rPr>
              <w:t>®</w:t>
            </w:r>
            <w:r w:rsidRPr="00853750">
              <w:rPr>
                <w:rFonts w:ascii="Calibri" w:hAnsi="Calibri"/>
                <w:color w:val="000000"/>
                <w:sz w:val="16"/>
                <w:szCs w:val="16"/>
              </w:rPr>
              <w:t xml:space="preserve"> 800 Mg Tablet</w:t>
            </w:r>
          </w:p>
        </w:tc>
        <w:tc>
          <w:tcPr>
            <w:tcW w:w="2160" w:type="dxa"/>
            <w:tcBorders>
              <w:top w:val="nil"/>
              <w:left w:val="nil"/>
              <w:bottom w:val="single" w:sz="4"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SEVELAMER HCl</w:t>
            </w:r>
          </w:p>
        </w:tc>
        <w:tc>
          <w:tcPr>
            <w:tcW w:w="1710" w:type="dxa"/>
            <w:tcBorders>
              <w:top w:val="nil"/>
              <w:left w:val="nil"/>
              <w:bottom w:val="single" w:sz="4"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$4.12</w:t>
            </w:r>
          </w:p>
        </w:tc>
        <w:tc>
          <w:tcPr>
            <w:tcW w:w="1512" w:type="dxa"/>
            <w:tcBorders>
              <w:top w:val="nil"/>
              <w:left w:val="nil"/>
              <w:bottom w:val="single" w:sz="4" w:space="0" w:color="auto"/>
              <w:right w:val="single" w:sz="4" w:space="0" w:color="auto"/>
            </w:tcBorders>
            <w:vAlign w:val="center"/>
          </w:tcPr>
          <w:p w:rsidR="00853750" w:rsidRPr="00853750" w:rsidRDefault="00853750" w:rsidP="00D5123F">
            <w:pPr>
              <w:jc w:val="center"/>
              <w:rPr>
                <w:sz w:val="16"/>
                <w:szCs w:val="16"/>
              </w:rPr>
            </w:pPr>
            <w:r w:rsidRPr="00853750">
              <w:rPr>
                <w:rFonts w:ascii="Calibri" w:hAnsi="Calibri"/>
                <w:color w:val="000000"/>
                <w:sz w:val="16"/>
                <w:szCs w:val="16"/>
              </w:rPr>
              <w:t>No PA Required</w:t>
            </w:r>
          </w:p>
        </w:tc>
      </w:tr>
      <w:tr w:rsidR="00853750" w:rsidRPr="00853750" w:rsidTr="00F355DA">
        <w:trPr>
          <w:trHeight w:val="173"/>
        </w:trPr>
        <w:tc>
          <w:tcPr>
            <w:tcW w:w="2628" w:type="dxa"/>
            <w:tcBorders>
              <w:top w:val="nil"/>
              <w:left w:val="single" w:sz="4" w:space="0" w:color="auto"/>
              <w:bottom w:val="single" w:sz="18" w:space="0" w:color="auto"/>
              <w:right w:val="single" w:sz="4" w:space="0" w:color="auto"/>
            </w:tcBorders>
            <w:shd w:val="clear" w:color="auto"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Renvela</w:t>
            </w:r>
            <w:r w:rsidR="00143299">
              <w:rPr>
                <w:rFonts w:ascii="Arial" w:hAnsi="Arial" w:cs="Arial"/>
                <w:color w:val="000000"/>
                <w:sz w:val="16"/>
                <w:szCs w:val="16"/>
              </w:rPr>
              <w:t>®</w:t>
            </w:r>
            <w:r w:rsidRPr="00853750">
              <w:rPr>
                <w:rFonts w:ascii="Calibri" w:hAnsi="Calibri"/>
                <w:color w:val="000000"/>
                <w:sz w:val="16"/>
                <w:szCs w:val="16"/>
              </w:rPr>
              <w:t xml:space="preserve"> 800  Mg Tablet</w:t>
            </w:r>
          </w:p>
        </w:tc>
        <w:tc>
          <w:tcPr>
            <w:tcW w:w="2160" w:type="dxa"/>
            <w:tcBorders>
              <w:top w:val="nil"/>
              <w:left w:val="nil"/>
              <w:bottom w:val="single" w:sz="18" w:space="0" w:color="auto"/>
              <w:right w:val="single" w:sz="4" w:space="0" w:color="auto"/>
            </w:tcBorders>
            <w:shd w:val="clear" w:color="auto"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SEVELAMER CARBONATE</w:t>
            </w:r>
          </w:p>
        </w:tc>
        <w:tc>
          <w:tcPr>
            <w:tcW w:w="1710" w:type="dxa"/>
            <w:tcBorders>
              <w:top w:val="nil"/>
              <w:left w:val="nil"/>
              <w:bottom w:val="single" w:sz="18" w:space="0" w:color="auto"/>
              <w:right w:val="single" w:sz="4" w:space="0" w:color="auto"/>
            </w:tcBorders>
            <w:shd w:val="clear" w:color="auto"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$3.30</w:t>
            </w:r>
          </w:p>
        </w:tc>
        <w:tc>
          <w:tcPr>
            <w:tcW w:w="1512" w:type="dxa"/>
            <w:tcBorders>
              <w:top w:val="nil"/>
              <w:left w:val="nil"/>
              <w:bottom w:val="single" w:sz="18" w:space="0" w:color="auto"/>
              <w:right w:val="single" w:sz="4" w:space="0" w:color="auto"/>
            </w:tcBorders>
            <w:vAlign w:val="center"/>
          </w:tcPr>
          <w:p w:rsidR="00853750" w:rsidRPr="00853750" w:rsidRDefault="00853750" w:rsidP="00D5123F">
            <w:pPr>
              <w:jc w:val="center"/>
              <w:rPr>
                <w:sz w:val="16"/>
                <w:szCs w:val="16"/>
              </w:rPr>
            </w:pPr>
            <w:r w:rsidRPr="00853750">
              <w:rPr>
                <w:rFonts w:ascii="Calibri" w:hAnsi="Calibri"/>
                <w:color w:val="000000"/>
                <w:sz w:val="16"/>
                <w:szCs w:val="16"/>
              </w:rPr>
              <w:t>No PA Required</w:t>
            </w:r>
          </w:p>
        </w:tc>
      </w:tr>
      <w:tr w:rsidR="00853750" w:rsidRPr="00853750" w:rsidTr="00F355DA">
        <w:trPr>
          <w:trHeight w:val="182"/>
        </w:trPr>
        <w:tc>
          <w:tcPr>
            <w:tcW w:w="2628" w:type="dxa"/>
            <w:tcBorders>
              <w:top w:val="single" w:sz="18" w:space="0" w:color="auto"/>
              <w:left w:val="single" w:sz="6" w:space="0" w:color="auto"/>
              <w:bottom w:val="single" w:sz="6" w:space="0" w:color="auto"/>
              <w:right w:val="single" w:sz="6" w:space="0" w:color="auto"/>
            </w:tcBorders>
            <w:shd w:val="clear" w:color="000000"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Fosrenol</w:t>
            </w:r>
            <w:r>
              <w:rPr>
                <w:rFonts w:ascii="Arial" w:hAnsi="Arial" w:cs="Arial"/>
                <w:color w:val="000000"/>
                <w:sz w:val="16"/>
                <w:szCs w:val="16"/>
              </w:rPr>
              <w:t>®</w:t>
            </w:r>
            <w:r w:rsidRPr="00853750">
              <w:rPr>
                <w:rFonts w:ascii="Calibri" w:hAnsi="Calibri"/>
                <w:color w:val="000000"/>
                <w:sz w:val="16"/>
                <w:szCs w:val="16"/>
              </w:rPr>
              <w:t xml:space="preserve"> 750 Mg Chew Tablet</w:t>
            </w:r>
          </w:p>
        </w:tc>
        <w:tc>
          <w:tcPr>
            <w:tcW w:w="2160" w:type="dxa"/>
            <w:tcBorders>
              <w:top w:val="single" w:sz="18" w:space="0" w:color="auto"/>
              <w:left w:val="single" w:sz="6" w:space="0" w:color="auto"/>
              <w:bottom w:val="single" w:sz="6" w:space="0" w:color="auto"/>
              <w:right w:val="single" w:sz="6" w:space="0" w:color="auto"/>
            </w:tcBorders>
            <w:shd w:val="clear" w:color="000000"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LANTHANUM CARBONATE</w:t>
            </w:r>
          </w:p>
        </w:tc>
        <w:tc>
          <w:tcPr>
            <w:tcW w:w="1710" w:type="dxa"/>
            <w:tcBorders>
              <w:top w:val="single" w:sz="18" w:space="0" w:color="auto"/>
              <w:left w:val="single" w:sz="6" w:space="0" w:color="auto"/>
              <w:bottom w:val="single" w:sz="6" w:space="0" w:color="auto"/>
              <w:right w:val="single" w:sz="6" w:space="0" w:color="auto"/>
            </w:tcBorders>
            <w:shd w:val="clear" w:color="000000"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$8.93</w:t>
            </w:r>
          </w:p>
        </w:tc>
        <w:tc>
          <w:tcPr>
            <w:tcW w:w="1512" w:type="dxa"/>
            <w:tcBorders>
              <w:top w:val="single" w:sz="18" w:space="0" w:color="auto"/>
              <w:left w:val="single" w:sz="6" w:space="0" w:color="auto"/>
              <w:bottom w:val="single" w:sz="6" w:space="0" w:color="auto"/>
              <w:right w:val="single" w:sz="6" w:space="0" w:color="auto"/>
            </w:tcBorders>
            <w:shd w:val="clear" w:color="000000" w:fill="auto"/>
            <w:vAlign w:val="center"/>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Manual Review PA</w:t>
            </w:r>
          </w:p>
        </w:tc>
      </w:tr>
      <w:tr w:rsidR="00853750" w:rsidRPr="00853750" w:rsidTr="00F355DA">
        <w:trPr>
          <w:trHeight w:val="105"/>
        </w:trPr>
        <w:tc>
          <w:tcPr>
            <w:tcW w:w="2628" w:type="dxa"/>
            <w:tcBorders>
              <w:top w:val="single" w:sz="6" w:space="0" w:color="auto"/>
              <w:left w:val="single" w:sz="6" w:space="0" w:color="auto"/>
              <w:bottom w:val="single" w:sz="6" w:space="0" w:color="auto"/>
              <w:right w:val="single" w:sz="6" w:space="0" w:color="auto"/>
            </w:tcBorders>
            <w:shd w:val="clear" w:color="000000"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Fosrenol</w:t>
            </w:r>
            <w:r w:rsidR="00143299">
              <w:rPr>
                <w:rFonts w:ascii="Arial" w:hAnsi="Arial" w:cs="Arial"/>
                <w:color w:val="000000"/>
                <w:sz w:val="16"/>
                <w:szCs w:val="16"/>
              </w:rPr>
              <w:t>®</w:t>
            </w:r>
            <w:r w:rsidRPr="00853750">
              <w:rPr>
                <w:rFonts w:ascii="Calibri" w:hAnsi="Calibri"/>
                <w:color w:val="000000"/>
                <w:sz w:val="16"/>
                <w:szCs w:val="16"/>
              </w:rPr>
              <w:t xml:space="preserve"> 1000 Mg Chew Tablet</w:t>
            </w:r>
          </w:p>
        </w:tc>
        <w:tc>
          <w:tcPr>
            <w:tcW w:w="2160" w:type="dxa"/>
            <w:tcBorders>
              <w:top w:val="single" w:sz="6" w:space="0" w:color="auto"/>
              <w:left w:val="single" w:sz="6" w:space="0" w:color="auto"/>
              <w:bottom w:val="single" w:sz="6" w:space="0" w:color="auto"/>
              <w:right w:val="single" w:sz="6" w:space="0" w:color="auto"/>
            </w:tcBorders>
            <w:shd w:val="clear" w:color="000000"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LANTHANUM CARBONATE</w:t>
            </w:r>
          </w:p>
        </w:tc>
        <w:tc>
          <w:tcPr>
            <w:tcW w:w="1710" w:type="dxa"/>
            <w:tcBorders>
              <w:top w:val="single" w:sz="6" w:space="0" w:color="auto"/>
              <w:left w:val="single" w:sz="6" w:space="0" w:color="auto"/>
              <w:bottom w:val="single" w:sz="6" w:space="0" w:color="auto"/>
              <w:right w:val="single" w:sz="6" w:space="0" w:color="auto"/>
            </w:tcBorders>
            <w:shd w:val="clear" w:color="000000"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$8.93</w:t>
            </w:r>
          </w:p>
        </w:tc>
        <w:tc>
          <w:tcPr>
            <w:tcW w:w="1512" w:type="dxa"/>
            <w:tcBorders>
              <w:top w:val="single" w:sz="6" w:space="0" w:color="auto"/>
              <w:left w:val="single" w:sz="6" w:space="0" w:color="auto"/>
              <w:bottom w:val="single" w:sz="6" w:space="0" w:color="auto"/>
              <w:right w:val="single" w:sz="6" w:space="0" w:color="auto"/>
            </w:tcBorders>
            <w:shd w:val="clear" w:color="000000" w:fill="auto"/>
            <w:vAlign w:val="center"/>
          </w:tcPr>
          <w:p w:rsidR="00853750" w:rsidRPr="00853750" w:rsidRDefault="00853750" w:rsidP="00D5123F">
            <w:pPr>
              <w:jc w:val="center"/>
              <w:rPr>
                <w:sz w:val="16"/>
                <w:szCs w:val="16"/>
              </w:rPr>
            </w:pPr>
            <w:r w:rsidRPr="00853750">
              <w:rPr>
                <w:rFonts w:ascii="Calibri" w:hAnsi="Calibri"/>
                <w:color w:val="000000"/>
                <w:sz w:val="16"/>
                <w:szCs w:val="16"/>
              </w:rPr>
              <w:t>Manual Review PA</w:t>
            </w:r>
          </w:p>
        </w:tc>
      </w:tr>
      <w:tr w:rsidR="00853750" w:rsidRPr="00853750" w:rsidTr="00F355DA">
        <w:trPr>
          <w:trHeight w:val="75"/>
        </w:trPr>
        <w:tc>
          <w:tcPr>
            <w:tcW w:w="2628" w:type="dxa"/>
            <w:tcBorders>
              <w:top w:val="single" w:sz="6" w:space="0" w:color="auto"/>
              <w:left w:val="single" w:sz="6" w:space="0" w:color="auto"/>
              <w:bottom w:val="single" w:sz="6" w:space="0" w:color="auto"/>
              <w:right w:val="single" w:sz="6" w:space="0" w:color="auto"/>
            </w:tcBorders>
            <w:shd w:val="clear" w:color="000000"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Fosrenol</w:t>
            </w:r>
            <w:r w:rsidR="00143299">
              <w:rPr>
                <w:rFonts w:ascii="Arial" w:hAnsi="Arial" w:cs="Arial"/>
                <w:color w:val="000000"/>
                <w:sz w:val="16"/>
                <w:szCs w:val="16"/>
              </w:rPr>
              <w:t>®</w:t>
            </w:r>
            <w:r w:rsidRPr="00853750">
              <w:rPr>
                <w:rFonts w:ascii="Calibri" w:hAnsi="Calibri"/>
                <w:color w:val="000000"/>
                <w:sz w:val="16"/>
                <w:szCs w:val="16"/>
              </w:rPr>
              <w:t xml:space="preserve"> 500 Mg Chew Tab</w:t>
            </w:r>
          </w:p>
        </w:tc>
        <w:tc>
          <w:tcPr>
            <w:tcW w:w="2160" w:type="dxa"/>
            <w:tcBorders>
              <w:top w:val="single" w:sz="6" w:space="0" w:color="auto"/>
              <w:left w:val="single" w:sz="6" w:space="0" w:color="auto"/>
              <w:bottom w:val="single" w:sz="6" w:space="0" w:color="auto"/>
              <w:right w:val="single" w:sz="6" w:space="0" w:color="auto"/>
            </w:tcBorders>
            <w:shd w:val="clear" w:color="000000"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LANTHANUM CARBONATE</w:t>
            </w:r>
          </w:p>
        </w:tc>
        <w:tc>
          <w:tcPr>
            <w:tcW w:w="1710" w:type="dxa"/>
            <w:tcBorders>
              <w:top w:val="single" w:sz="6" w:space="0" w:color="auto"/>
              <w:left w:val="single" w:sz="6" w:space="0" w:color="auto"/>
              <w:bottom w:val="single" w:sz="6" w:space="0" w:color="auto"/>
              <w:right w:val="single" w:sz="6" w:space="0" w:color="auto"/>
            </w:tcBorders>
            <w:shd w:val="clear" w:color="000000"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$8.93</w:t>
            </w:r>
          </w:p>
        </w:tc>
        <w:tc>
          <w:tcPr>
            <w:tcW w:w="1512" w:type="dxa"/>
            <w:tcBorders>
              <w:top w:val="single" w:sz="6" w:space="0" w:color="auto"/>
              <w:left w:val="single" w:sz="6" w:space="0" w:color="auto"/>
              <w:bottom w:val="single" w:sz="6" w:space="0" w:color="auto"/>
              <w:right w:val="single" w:sz="6" w:space="0" w:color="auto"/>
            </w:tcBorders>
            <w:shd w:val="clear" w:color="000000" w:fill="auto"/>
            <w:vAlign w:val="center"/>
          </w:tcPr>
          <w:p w:rsidR="00853750" w:rsidRPr="00853750" w:rsidRDefault="00853750" w:rsidP="00D5123F">
            <w:pPr>
              <w:jc w:val="center"/>
              <w:rPr>
                <w:sz w:val="16"/>
                <w:szCs w:val="16"/>
              </w:rPr>
            </w:pPr>
            <w:r w:rsidRPr="00853750">
              <w:rPr>
                <w:rFonts w:ascii="Calibri" w:hAnsi="Calibri"/>
                <w:color w:val="000000"/>
                <w:sz w:val="16"/>
                <w:szCs w:val="16"/>
              </w:rPr>
              <w:t>Manual Review PA</w:t>
            </w:r>
          </w:p>
        </w:tc>
      </w:tr>
      <w:tr w:rsidR="00853750" w:rsidRPr="00853750" w:rsidTr="00F355DA">
        <w:trPr>
          <w:trHeight w:val="228"/>
        </w:trPr>
        <w:tc>
          <w:tcPr>
            <w:tcW w:w="2628" w:type="dxa"/>
            <w:tcBorders>
              <w:top w:val="single" w:sz="6" w:space="0" w:color="auto"/>
              <w:left w:val="single" w:sz="6" w:space="0" w:color="auto"/>
              <w:bottom w:val="single" w:sz="6" w:space="0" w:color="auto"/>
              <w:right w:val="single" w:sz="6" w:space="0" w:color="auto"/>
            </w:tcBorders>
            <w:shd w:val="clear" w:color="000000"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Velphoro</w:t>
            </w:r>
            <w:r w:rsidR="00143299">
              <w:rPr>
                <w:rFonts w:ascii="Arial" w:hAnsi="Arial" w:cs="Arial"/>
                <w:color w:val="000000"/>
                <w:sz w:val="16"/>
                <w:szCs w:val="16"/>
              </w:rPr>
              <w:t>®</w:t>
            </w:r>
            <w:r w:rsidRPr="00853750">
              <w:rPr>
                <w:rFonts w:ascii="Calibri" w:hAnsi="Calibri"/>
                <w:color w:val="000000"/>
                <w:sz w:val="16"/>
                <w:szCs w:val="16"/>
              </w:rPr>
              <w:t xml:space="preserve"> 500 Mg Chew Tablet</w:t>
            </w:r>
          </w:p>
        </w:tc>
        <w:tc>
          <w:tcPr>
            <w:tcW w:w="2160" w:type="dxa"/>
            <w:tcBorders>
              <w:top w:val="single" w:sz="6" w:space="0" w:color="auto"/>
              <w:left w:val="single" w:sz="6" w:space="0" w:color="auto"/>
              <w:bottom w:val="single" w:sz="6" w:space="0" w:color="auto"/>
              <w:right w:val="single" w:sz="6" w:space="0" w:color="auto"/>
            </w:tcBorders>
            <w:shd w:val="clear" w:color="000000"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SUCROFERRIC OXYHYDROXIDE</w:t>
            </w:r>
          </w:p>
        </w:tc>
        <w:tc>
          <w:tcPr>
            <w:tcW w:w="1710" w:type="dxa"/>
            <w:tcBorders>
              <w:top w:val="single" w:sz="6" w:space="0" w:color="auto"/>
              <w:left w:val="single" w:sz="6" w:space="0" w:color="auto"/>
              <w:bottom w:val="single" w:sz="6" w:space="0" w:color="auto"/>
              <w:right w:val="single" w:sz="6" w:space="0" w:color="auto"/>
            </w:tcBorders>
            <w:shd w:val="clear" w:color="000000"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$9.08</w:t>
            </w:r>
          </w:p>
        </w:tc>
        <w:tc>
          <w:tcPr>
            <w:tcW w:w="1512" w:type="dxa"/>
            <w:tcBorders>
              <w:top w:val="single" w:sz="6" w:space="0" w:color="auto"/>
              <w:left w:val="single" w:sz="6" w:space="0" w:color="auto"/>
              <w:bottom w:val="single" w:sz="6" w:space="0" w:color="auto"/>
              <w:right w:val="single" w:sz="6" w:space="0" w:color="auto"/>
            </w:tcBorders>
            <w:shd w:val="clear" w:color="000000" w:fill="auto"/>
            <w:vAlign w:val="center"/>
          </w:tcPr>
          <w:p w:rsidR="00853750" w:rsidRPr="00853750" w:rsidRDefault="00853750" w:rsidP="00D5123F">
            <w:pPr>
              <w:jc w:val="center"/>
              <w:rPr>
                <w:sz w:val="16"/>
                <w:szCs w:val="16"/>
              </w:rPr>
            </w:pPr>
            <w:r w:rsidRPr="00853750">
              <w:rPr>
                <w:rFonts w:ascii="Calibri" w:hAnsi="Calibri"/>
                <w:color w:val="000000"/>
                <w:sz w:val="16"/>
                <w:szCs w:val="16"/>
              </w:rPr>
              <w:t>Manual Review PA</w:t>
            </w:r>
          </w:p>
        </w:tc>
      </w:tr>
      <w:tr w:rsidR="00853750" w:rsidRPr="00853750" w:rsidTr="00F355DA">
        <w:trPr>
          <w:trHeight w:val="84"/>
        </w:trPr>
        <w:tc>
          <w:tcPr>
            <w:tcW w:w="2628" w:type="dxa"/>
            <w:tcBorders>
              <w:top w:val="single" w:sz="6" w:space="0" w:color="auto"/>
              <w:left w:val="single" w:sz="6" w:space="0" w:color="auto"/>
              <w:bottom w:val="single" w:sz="6" w:space="0" w:color="auto"/>
              <w:right w:val="single" w:sz="6" w:space="0" w:color="auto"/>
            </w:tcBorders>
            <w:shd w:val="clear" w:color="000000"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Renvela</w:t>
            </w:r>
            <w:r w:rsidR="00143299">
              <w:rPr>
                <w:rFonts w:ascii="Arial" w:hAnsi="Arial" w:cs="Arial"/>
                <w:color w:val="000000"/>
                <w:sz w:val="16"/>
                <w:szCs w:val="16"/>
              </w:rPr>
              <w:t>®</w:t>
            </w:r>
            <w:r w:rsidRPr="00853750">
              <w:rPr>
                <w:rFonts w:ascii="Calibri" w:hAnsi="Calibri"/>
                <w:color w:val="000000"/>
                <w:sz w:val="16"/>
                <w:szCs w:val="16"/>
              </w:rPr>
              <w:t xml:space="preserve"> 2.4 Gm Powder Packet</w:t>
            </w:r>
          </w:p>
        </w:tc>
        <w:tc>
          <w:tcPr>
            <w:tcW w:w="2160" w:type="dxa"/>
            <w:tcBorders>
              <w:top w:val="single" w:sz="6" w:space="0" w:color="auto"/>
              <w:left w:val="single" w:sz="6" w:space="0" w:color="auto"/>
              <w:bottom w:val="single" w:sz="6" w:space="0" w:color="auto"/>
              <w:right w:val="single" w:sz="6" w:space="0" w:color="auto"/>
            </w:tcBorders>
            <w:shd w:val="clear" w:color="000000"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SEVELAMER CARBONATE</w:t>
            </w:r>
          </w:p>
        </w:tc>
        <w:tc>
          <w:tcPr>
            <w:tcW w:w="1710" w:type="dxa"/>
            <w:tcBorders>
              <w:top w:val="single" w:sz="6" w:space="0" w:color="auto"/>
              <w:left w:val="single" w:sz="6" w:space="0" w:color="auto"/>
              <w:bottom w:val="single" w:sz="6" w:space="0" w:color="auto"/>
              <w:right w:val="single" w:sz="6" w:space="0" w:color="auto"/>
            </w:tcBorders>
            <w:shd w:val="clear" w:color="000000"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$9.90</w:t>
            </w:r>
          </w:p>
        </w:tc>
        <w:tc>
          <w:tcPr>
            <w:tcW w:w="1512" w:type="dxa"/>
            <w:tcBorders>
              <w:top w:val="single" w:sz="6" w:space="0" w:color="auto"/>
              <w:left w:val="single" w:sz="6" w:space="0" w:color="auto"/>
              <w:bottom w:val="single" w:sz="6" w:space="0" w:color="auto"/>
              <w:right w:val="single" w:sz="6" w:space="0" w:color="auto"/>
            </w:tcBorders>
            <w:shd w:val="clear" w:color="000000" w:fill="auto"/>
            <w:vAlign w:val="center"/>
          </w:tcPr>
          <w:p w:rsidR="00853750" w:rsidRPr="00853750" w:rsidRDefault="00853750" w:rsidP="00D5123F">
            <w:pPr>
              <w:jc w:val="center"/>
              <w:rPr>
                <w:sz w:val="16"/>
                <w:szCs w:val="16"/>
              </w:rPr>
            </w:pPr>
            <w:r w:rsidRPr="00853750">
              <w:rPr>
                <w:rFonts w:ascii="Calibri" w:hAnsi="Calibri"/>
                <w:color w:val="000000"/>
                <w:sz w:val="16"/>
                <w:szCs w:val="16"/>
              </w:rPr>
              <w:t>Manual Review PA</w:t>
            </w:r>
          </w:p>
        </w:tc>
      </w:tr>
      <w:tr w:rsidR="00853750" w:rsidRPr="00853750" w:rsidTr="00F355DA">
        <w:trPr>
          <w:trHeight w:val="66"/>
        </w:trPr>
        <w:tc>
          <w:tcPr>
            <w:tcW w:w="2628" w:type="dxa"/>
            <w:tcBorders>
              <w:top w:val="single" w:sz="6" w:space="0" w:color="auto"/>
              <w:left w:val="single" w:sz="6" w:space="0" w:color="auto"/>
              <w:bottom w:val="single" w:sz="6" w:space="0" w:color="auto"/>
              <w:right w:val="single" w:sz="6" w:space="0" w:color="auto"/>
            </w:tcBorders>
            <w:shd w:val="clear" w:color="000000" w:fill="auto"/>
            <w:noWrap/>
            <w:vAlign w:val="bottom"/>
            <w:hideMark/>
          </w:tcPr>
          <w:p w:rsidR="00853750" w:rsidRPr="00853750" w:rsidRDefault="00BD034D" w:rsidP="00AB114B">
            <w:pPr>
              <w:rPr>
                <w:rFonts w:ascii="Calibri" w:hAnsi="Calibri"/>
                <w:color w:val="000000"/>
                <w:sz w:val="16"/>
                <w:szCs w:val="16"/>
              </w:rPr>
            </w:pPr>
            <w:r w:rsidRPr="00853750">
              <w:rPr>
                <w:rFonts w:ascii="Calibri" w:hAnsi="Calibri"/>
                <w:color w:val="000000"/>
                <w:sz w:val="16"/>
                <w:szCs w:val="16"/>
              </w:rPr>
              <w:t>Renvela</w:t>
            </w:r>
            <w:r w:rsidR="00143299">
              <w:rPr>
                <w:rFonts w:ascii="Arial" w:hAnsi="Arial" w:cs="Arial"/>
                <w:color w:val="000000"/>
                <w:sz w:val="16"/>
                <w:szCs w:val="16"/>
              </w:rPr>
              <w:t>®</w:t>
            </w:r>
            <w:r w:rsidRPr="00853750">
              <w:rPr>
                <w:rFonts w:ascii="Calibri" w:hAnsi="Calibri"/>
                <w:color w:val="000000"/>
                <w:sz w:val="16"/>
                <w:szCs w:val="16"/>
              </w:rPr>
              <w:t xml:space="preserve"> 0.8 Gm Powder Packet</w:t>
            </w:r>
          </w:p>
        </w:tc>
        <w:tc>
          <w:tcPr>
            <w:tcW w:w="2160" w:type="dxa"/>
            <w:tcBorders>
              <w:top w:val="single" w:sz="6" w:space="0" w:color="auto"/>
              <w:left w:val="single" w:sz="6" w:space="0" w:color="auto"/>
              <w:bottom w:val="single" w:sz="6" w:space="0" w:color="auto"/>
              <w:right w:val="single" w:sz="6" w:space="0" w:color="auto"/>
            </w:tcBorders>
            <w:shd w:val="clear" w:color="000000" w:fill="auto"/>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SEVELAMER CARBONATE</w:t>
            </w:r>
          </w:p>
        </w:tc>
        <w:tc>
          <w:tcPr>
            <w:tcW w:w="1710" w:type="dxa"/>
            <w:tcBorders>
              <w:top w:val="single" w:sz="6" w:space="0" w:color="auto"/>
              <w:left w:val="single" w:sz="6" w:space="0" w:color="auto"/>
              <w:bottom w:val="single" w:sz="6" w:space="0" w:color="auto"/>
              <w:right w:val="single" w:sz="6" w:space="0" w:color="auto"/>
            </w:tcBorders>
            <w:shd w:val="clear" w:color="000000" w:fill="auto"/>
            <w:noWrap/>
            <w:vAlign w:val="center"/>
            <w:hideMark/>
          </w:tcPr>
          <w:p w:rsidR="00853750" w:rsidRPr="00853750" w:rsidRDefault="00853750" w:rsidP="00D5123F">
            <w:pPr>
              <w:jc w:val="center"/>
              <w:rPr>
                <w:rFonts w:ascii="Calibri" w:hAnsi="Calibri"/>
                <w:color w:val="000000"/>
                <w:sz w:val="16"/>
                <w:szCs w:val="16"/>
              </w:rPr>
            </w:pPr>
            <w:r w:rsidRPr="00853750">
              <w:rPr>
                <w:rFonts w:ascii="Calibri" w:hAnsi="Calibri"/>
                <w:color w:val="000000"/>
                <w:sz w:val="16"/>
                <w:szCs w:val="16"/>
              </w:rPr>
              <w:t>$9.90</w:t>
            </w:r>
          </w:p>
        </w:tc>
        <w:tc>
          <w:tcPr>
            <w:tcW w:w="1512" w:type="dxa"/>
            <w:tcBorders>
              <w:top w:val="single" w:sz="6" w:space="0" w:color="auto"/>
              <w:left w:val="single" w:sz="6" w:space="0" w:color="auto"/>
              <w:bottom w:val="single" w:sz="6" w:space="0" w:color="auto"/>
              <w:right w:val="single" w:sz="6" w:space="0" w:color="auto"/>
            </w:tcBorders>
            <w:shd w:val="clear" w:color="000000" w:fill="auto"/>
            <w:vAlign w:val="center"/>
          </w:tcPr>
          <w:p w:rsidR="00853750" w:rsidRPr="00853750" w:rsidRDefault="00853750" w:rsidP="00D5123F">
            <w:pPr>
              <w:jc w:val="center"/>
              <w:rPr>
                <w:sz w:val="16"/>
                <w:szCs w:val="16"/>
              </w:rPr>
            </w:pPr>
            <w:r w:rsidRPr="00853750">
              <w:rPr>
                <w:rFonts w:ascii="Calibri" w:hAnsi="Calibri"/>
                <w:color w:val="000000"/>
                <w:sz w:val="16"/>
                <w:szCs w:val="16"/>
              </w:rPr>
              <w:t>Manual Review PA</w:t>
            </w:r>
          </w:p>
        </w:tc>
      </w:tr>
    </w:tbl>
    <w:p w:rsidR="00853750" w:rsidRDefault="00853750" w:rsidP="00853750">
      <w:pPr>
        <w:pStyle w:val="ListParagraph"/>
        <w:ind w:left="1440"/>
        <w:rPr>
          <w:rFonts w:ascii="Arial" w:hAnsi="Arial" w:cs="Arial"/>
          <w:sz w:val="18"/>
          <w:szCs w:val="18"/>
        </w:rPr>
      </w:pPr>
    </w:p>
    <w:p w:rsidR="00853750" w:rsidRDefault="00853750" w:rsidP="00853750">
      <w:pPr>
        <w:pStyle w:val="ListParagraph"/>
        <w:ind w:left="1440"/>
        <w:rPr>
          <w:rFonts w:ascii="Arial" w:hAnsi="Arial" w:cs="Arial"/>
          <w:sz w:val="18"/>
          <w:szCs w:val="18"/>
        </w:rPr>
      </w:pPr>
    </w:p>
    <w:p w:rsidR="00853750" w:rsidRDefault="00853750" w:rsidP="00853750">
      <w:pPr>
        <w:pStyle w:val="ListParagraph"/>
        <w:ind w:left="1440"/>
        <w:rPr>
          <w:rFonts w:ascii="Arial" w:hAnsi="Arial" w:cs="Arial"/>
          <w:sz w:val="18"/>
          <w:szCs w:val="18"/>
        </w:rPr>
      </w:pPr>
    </w:p>
    <w:p w:rsidR="00853750" w:rsidRDefault="00853750" w:rsidP="00853750">
      <w:pPr>
        <w:pStyle w:val="ListParagraph"/>
        <w:ind w:left="1440"/>
        <w:rPr>
          <w:rFonts w:ascii="Arial" w:hAnsi="Arial" w:cs="Arial"/>
          <w:sz w:val="18"/>
          <w:szCs w:val="18"/>
        </w:rPr>
      </w:pPr>
    </w:p>
    <w:p w:rsidR="00F355DA" w:rsidRDefault="00F355DA" w:rsidP="00853750">
      <w:pPr>
        <w:pStyle w:val="ListParagraph"/>
        <w:tabs>
          <w:tab w:val="left" w:pos="1095"/>
        </w:tabs>
        <w:ind w:left="1080"/>
        <w:rPr>
          <w:rFonts w:ascii="Arial" w:hAnsi="Arial" w:cs="Arial"/>
          <w:b/>
          <w:sz w:val="18"/>
          <w:szCs w:val="18"/>
        </w:rPr>
      </w:pPr>
    </w:p>
    <w:p w:rsidR="00F355DA" w:rsidRDefault="00F355DA" w:rsidP="00853750">
      <w:pPr>
        <w:pStyle w:val="ListParagraph"/>
        <w:tabs>
          <w:tab w:val="left" w:pos="1095"/>
        </w:tabs>
        <w:ind w:left="1080"/>
        <w:rPr>
          <w:rFonts w:ascii="Arial" w:hAnsi="Arial" w:cs="Arial"/>
          <w:b/>
          <w:sz w:val="18"/>
          <w:szCs w:val="18"/>
        </w:rPr>
      </w:pPr>
    </w:p>
    <w:p w:rsidR="00F355DA" w:rsidRDefault="00F355DA" w:rsidP="00853750">
      <w:pPr>
        <w:pStyle w:val="ListParagraph"/>
        <w:tabs>
          <w:tab w:val="left" w:pos="1095"/>
        </w:tabs>
        <w:ind w:left="1080"/>
        <w:rPr>
          <w:rFonts w:ascii="Arial" w:hAnsi="Arial" w:cs="Arial"/>
          <w:b/>
          <w:sz w:val="18"/>
          <w:szCs w:val="18"/>
        </w:rPr>
      </w:pPr>
    </w:p>
    <w:p w:rsidR="00F355DA" w:rsidRDefault="00F355DA"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B40001" w:rsidRDefault="00B40001" w:rsidP="00853750">
      <w:pPr>
        <w:pStyle w:val="ListParagraph"/>
        <w:tabs>
          <w:tab w:val="left" w:pos="1095"/>
        </w:tabs>
        <w:ind w:left="1080"/>
        <w:rPr>
          <w:rFonts w:ascii="Arial" w:hAnsi="Arial" w:cs="Arial"/>
          <w:b/>
          <w:sz w:val="18"/>
          <w:szCs w:val="18"/>
        </w:rPr>
      </w:pPr>
    </w:p>
    <w:p w:rsidR="00853750" w:rsidRDefault="00853750" w:rsidP="00853750">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8C0432">
        <w:rPr>
          <w:rFonts w:ascii="Arial" w:hAnsi="Arial" w:cs="Arial"/>
          <w:b/>
          <w:sz w:val="18"/>
          <w:szCs w:val="18"/>
        </w:rPr>
        <w:t>.</w:t>
      </w:r>
    </w:p>
    <w:p w:rsidR="00B95EF8" w:rsidRDefault="00B95EF8" w:rsidP="00853750">
      <w:pPr>
        <w:pStyle w:val="ListParagraph"/>
        <w:ind w:left="1440"/>
        <w:rPr>
          <w:rFonts w:ascii="Arial" w:hAnsi="Arial" w:cs="Arial"/>
          <w:sz w:val="18"/>
          <w:szCs w:val="18"/>
        </w:rPr>
      </w:pPr>
    </w:p>
    <w:p w:rsidR="00780FC1" w:rsidRDefault="005F5D4B" w:rsidP="00780FC1">
      <w:pPr>
        <w:pStyle w:val="ListParagraph"/>
        <w:ind w:left="1440"/>
        <w:rPr>
          <w:rFonts w:ascii="Arial" w:hAnsi="Arial" w:cs="Arial"/>
          <w:sz w:val="18"/>
          <w:szCs w:val="18"/>
        </w:rPr>
      </w:pPr>
      <w:r w:rsidRPr="005F5D4B">
        <w:rPr>
          <w:rFonts w:ascii="Arial" w:hAnsi="Arial" w:cs="Arial"/>
          <w:b/>
          <w:sz w:val="18"/>
          <w:szCs w:val="18"/>
          <w:u w:val="single"/>
        </w:rPr>
        <w:t>Hepatitis C</w:t>
      </w:r>
      <w:r w:rsidRPr="005F5D4B">
        <w:rPr>
          <w:rFonts w:ascii="Arial" w:hAnsi="Arial" w:cs="Arial"/>
          <w:sz w:val="18"/>
          <w:szCs w:val="18"/>
        </w:rPr>
        <w:t>: Arkansas Medicaid is monitoring the evolving therapeutic options for Hepatitis C. Given the regular reporting of new results of several novel agents alone and in combination, the absence of long term clinical outcomes data, and the imminent approval of additional medications, Arkansas Medicaid has adopted a conservative approach to HCV therapy at this time to be revised as new information becomes available.  Many factors will be reviewed and prescribers may be asked to provide the medical necessity of urgency for treatment</w:t>
      </w:r>
      <w:r>
        <w:rPr>
          <w:rFonts w:ascii="Arial" w:hAnsi="Arial" w:cs="Arial"/>
          <w:sz w:val="18"/>
          <w:szCs w:val="18"/>
        </w:rPr>
        <w:t>.</w:t>
      </w:r>
    </w:p>
    <w:p w:rsidR="005F5D4B" w:rsidRPr="005F5D4B" w:rsidRDefault="005F5D4B" w:rsidP="00780FC1">
      <w:pPr>
        <w:pStyle w:val="ListParagraph"/>
        <w:ind w:left="1440"/>
        <w:rPr>
          <w:rFonts w:ascii="Arial" w:hAnsi="Arial" w:cs="Arial"/>
          <w:sz w:val="18"/>
          <w:szCs w:val="18"/>
        </w:rPr>
      </w:pPr>
    </w:p>
    <w:p w:rsidR="00780FC1" w:rsidRDefault="00824CD5" w:rsidP="00780FC1">
      <w:pPr>
        <w:pStyle w:val="ListParagraph"/>
        <w:ind w:left="1440"/>
        <w:rPr>
          <w:rFonts w:ascii="Arial" w:hAnsi="Arial" w:cs="Arial"/>
          <w:b/>
          <w:bCs/>
          <w:sz w:val="18"/>
          <w:szCs w:val="18"/>
        </w:rPr>
      </w:pPr>
      <w:r>
        <w:rPr>
          <w:rFonts w:ascii="Arial" w:hAnsi="Arial" w:cs="Arial"/>
          <w:sz w:val="18"/>
          <w:szCs w:val="18"/>
        </w:rPr>
        <w:t xml:space="preserve">The revised HCV </w:t>
      </w:r>
      <w:r w:rsidR="00AD7AE6">
        <w:rPr>
          <w:rFonts w:ascii="Arial" w:hAnsi="Arial" w:cs="Arial"/>
          <w:sz w:val="18"/>
          <w:szCs w:val="18"/>
        </w:rPr>
        <w:t>Statement of Medical Necessity</w:t>
      </w:r>
      <w:r>
        <w:rPr>
          <w:rFonts w:ascii="Arial" w:hAnsi="Arial" w:cs="Arial"/>
          <w:sz w:val="18"/>
          <w:szCs w:val="18"/>
        </w:rPr>
        <w:t xml:space="preserve"> can be found on the Medicaid Pharmacy Program website</w:t>
      </w:r>
      <w:r w:rsidR="00780FC1">
        <w:rPr>
          <w:rFonts w:ascii="Arial" w:hAnsi="Arial" w:cs="Arial"/>
          <w:sz w:val="18"/>
          <w:szCs w:val="18"/>
        </w:rPr>
        <w:t xml:space="preserve"> and is required for all HCV treatment requests</w:t>
      </w:r>
      <w:r>
        <w:rPr>
          <w:rFonts w:ascii="Arial" w:hAnsi="Arial" w:cs="Arial"/>
          <w:sz w:val="18"/>
          <w:szCs w:val="18"/>
        </w:rPr>
        <w:t xml:space="preserve">. </w:t>
      </w:r>
      <w:r w:rsidR="00AD7AE6">
        <w:rPr>
          <w:rFonts w:ascii="Arial" w:hAnsi="Arial" w:cs="Arial"/>
          <w:bCs/>
          <w:sz w:val="18"/>
          <w:szCs w:val="18"/>
        </w:rPr>
        <w:t>It</w:t>
      </w:r>
      <w:r w:rsidR="00780FC1" w:rsidRPr="00015920">
        <w:rPr>
          <w:rFonts w:ascii="Arial" w:hAnsi="Arial" w:cs="Arial"/>
          <w:bCs/>
          <w:sz w:val="18"/>
          <w:szCs w:val="18"/>
        </w:rPr>
        <w:t xml:space="preserve"> </w:t>
      </w:r>
      <w:r w:rsidR="00780FC1">
        <w:rPr>
          <w:rFonts w:ascii="Arial" w:hAnsi="Arial" w:cs="Arial"/>
          <w:bCs/>
          <w:sz w:val="18"/>
          <w:szCs w:val="18"/>
        </w:rPr>
        <w:t>is</w:t>
      </w:r>
      <w:r w:rsidR="00780FC1" w:rsidRPr="00015920">
        <w:rPr>
          <w:rFonts w:ascii="Arial" w:hAnsi="Arial" w:cs="Arial"/>
          <w:bCs/>
          <w:sz w:val="18"/>
          <w:szCs w:val="18"/>
        </w:rPr>
        <w:t xml:space="preserve"> posted on the Medicaid website in the Prescription Drug Program section under Prescription Drug PA forms: </w:t>
      </w:r>
      <w:hyperlink r:id="rId16" w:history="1">
        <w:r w:rsidR="00780FC1" w:rsidRPr="00015920">
          <w:rPr>
            <w:rStyle w:val="Hyperlink"/>
            <w:rFonts w:ascii="Arial" w:hAnsi="Arial" w:cs="Arial"/>
            <w:bCs/>
            <w:sz w:val="18"/>
            <w:szCs w:val="18"/>
          </w:rPr>
          <w:t>https://www.medicaid.state.ar.us/InternetSolution/provider/forms/pharm/pharmform.aspx</w:t>
        </w:r>
      </w:hyperlink>
      <w:r w:rsidR="00DE75B6">
        <w:rPr>
          <w:rFonts w:ascii="Arial" w:hAnsi="Arial" w:cs="Arial"/>
          <w:bCs/>
          <w:sz w:val="18"/>
          <w:szCs w:val="18"/>
        </w:rPr>
        <w:t xml:space="preserve">. </w:t>
      </w:r>
      <w:r w:rsidR="00780FC1" w:rsidRPr="00015920">
        <w:rPr>
          <w:rFonts w:ascii="Arial" w:hAnsi="Arial" w:cs="Arial"/>
          <w:bCs/>
          <w:sz w:val="18"/>
          <w:szCs w:val="18"/>
        </w:rPr>
        <w:t xml:space="preserve">The </w:t>
      </w:r>
      <w:r w:rsidR="00AD7AE6">
        <w:rPr>
          <w:rFonts w:ascii="Arial" w:hAnsi="Arial" w:cs="Arial"/>
          <w:bCs/>
          <w:sz w:val="18"/>
          <w:szCs w:val="18"/>
        </w:rPr>
        <w:t>Statement of Medical Necessity</w:t>
      </w:r>
      <w:r w:rsidR="00780FC1" w:rsidRPr="00015920">
        <w:rPr>
          <w:rFonts w:ascii="Arial" w:hAnsi="Arial" w:cs="Arial"/>
          <w:bCs/>
          <w:sz w:val="18"/>
          <w:szCs w:val="18"/>
        </w:rPr>
        <w:t xml:space="preserve"> must be completed for all new and continuation therapy requests. Exceptions to the established criteria, including requests to </w:t>
      </w:r>
      <w:r w:rsidR="00780FC1" w:rsidRPr="00845C1E">
        <w:rPr>
          <w:rFonts w:ascii="Arial" w:hAnsi="Arial" w:cs="Arial"/>
          <w:bCs/>
          <w:sz w:val="18"/>
          <w:szCs w:val="18"/>
        </w:rPr>
        <w:t>extend therapy, will</w:t>
      </w:r>
      <w:r w:rsidR="00780FC1" w:rsidRPr="00015920">
        <w:rPr>
          <w:rFonts w:ascii="Arial" w:hAnsi="Arial" w:cs="Arial"/>
          <w:bCs/>
          <w:sz w:val="18"/>
          <w:szCs w:val="18"/>
        </w:rPr>
        <w:t xml:space="preserve"> be reviewed on a case-by-case basis.</w:t>
      </w:r>
    </w:p>
    <w:p w:rsidR="00780FC1" w:rsidRDefault="00780FC1" w:rsidP="00780FC1">
      <w:pPr>
        <w:pStyle w:val="ListParagraph"/>
        <w:ind w:left="1440"/>
        <w:rPr>
          <w:rFonts w:ascii="Arial" w:hAnsi="Arial" w:cs="Arial"/>
          <w:sz w:val="18"/>
          <w:szCs w:val="18"/>
        </w:rPr>
      </w:pPr>
      <w:r w:rsidRPr="00780FC1">
        <w:rPr>
          <w:rFonts w:ascii="Arial" w:hAnsi="Arial" w:cs="Arial"/>
          <w:sz w:val="18"/>
          <w:szCs w:val="18"/>
        </w:rPr>
        <w:lastRenderedPageBreak/>
        <w:t xml:space="preserve">The reimbursement rate for Sovaldi® </w:t>
      </w:r>
      <w:r>
        <w:rPr>
          <w:rFonts w:ascii="Arial" w:hAnsi="Arial" w:cs="Arial"/>
          <w:sz w:val="18"/>
          <w:szCs w:val="18"/>
        </w:rPr>
        <w:t xml:space="preserve">(sofosbuvir) </w:t>
      </w:r>
      <w:r w:rsidRPr="00780FC1">
        <w:rPr>
          <w:rFonts w:ascii="Arial" w:hAnsi="Arial" w:cs="Arial"/>
          <w:sz w:val="18"/>
          <w:szCs w:val="18"/>
        </w:rPr>
        <w:t>is $1,032 per tablet; 12 weeks of Sovaldi® treatment = $86,688 in addition to o</w:t>
      </w:r>
      <w:r w:rsidR="00B42EA6">
        <w:rPr>
          <w:rFonts w:ascii="Arial" w:hAnsi="Arial" w:cs="Arial"/>
          <w:sz w:val="18"/>
          <w:szCs w:val="18"/>
        </w:rPr>
        <w:t>ther medications for treatment.</w:t>
      </w:r>
    </w:p>
    <w:p w:rsidR="00845C1E" w:rsidRPr="00780FC1" w:rsidRDefault="00845C1E" w:rsidP="00780FC1">
      <w:pPr>
        <w:pStyle w:val="ListParagraph"/>
        <w:ind w:left="1440"/>
        <w:rPr>
          <w:rFonts w:ascii="Arial" w:hAnsi="Arial" w:cs="Arial"/>
          <w:sz w:val="18"/>
          <w:szCs w:val="18"/>
        </w:rPr>
      </w:pPr>
    </w:p>
    <w:p w:rsidR="00780FC1" w:rsidRPr="00780FC1" w:rsidRDefault="00845C1E" w:rsidP="00780FC1">
      <w:pPr>
        <w:pStyle w:val="ListParagraph"/>
        <w:ind w:left="1440"/>
        <w:rPr>
          <w:rFonts w:ascii="Arial" w:hAnsi="Arial" w:cs="Arial"/>
          <w:sz w:val="18"/>
          <w:szCs w:val="18"/>
        </w:rPr>
      </w:pPr>
      <w:r>
        <w:rPr>
          <w:rFonts w:ascii="Arial" w:hAnsi="Arial" w:cs="Arial"/>
          <w:sz w:val="18"/>
          <w:szCs w:val="18"/>
        </w:rPr>
        <w:t xml:space="preserve">The reimbursement rate for </w:t>
      </w:r>
      <w:r w:rsidR="00780FC1" w:rsidRPr="00780FC1">
        <w:rPr>
          <w:rFonts w:ascii="Arial" w:hAnsi="Arial" w:cs="Arial"/>
          <w:sz w:val="18"/>
          <w:szCs w:val="18"/>
        </w:rPr>
        <w:t xml:space="preserve">Olysio® (simeprevir) is $815.28 </w:t>
      </w:r>
      <w:r w:rsidR="00780FC1">
        <w:rPr>
          <w:rFonts w:ascii="Arial" w:hAnsi="Arial" w:cs="Arial"/>
          <w:sz w:val="18"/>
          <w:szCs w:val="18"/>
        </w:rPr>
        <w:t>per</w:t>
      </w:r>
      <w:r w:rsidR="00780FC1" w:rsidRPr="00780FC1">
        <w:rPr>
          <w:rFonts w:ascii="Arial" w:hAnsi="Arial" w:cs="Arial"/>
          <w:sz w:val="18"/>
          <w:szCs w:val="18"/>
        </w:rPr>
        <w:t xml:space="preserve"> capsule; 12 </w:t>
      </w:r>
      <w:r w:rsidR="00780FC1">
        <w:rPr>
          <w:rFonts w:ascii="Arial" w:hAnsi="Arial" w:cs="Arial"/>
          <w:sz w:val="18"/>
          <w:szCs w:val="18"/>
        </w:rPr>
        <w:t>weeks</w:t>
      </w:r>
      <w:r w:rsidR="00780FC1" w:rsidRPr="00780FC1">
        <w:rPr>
          <w:rFonts w:ascii="Arial" w:hAnsi="Arial" w:cs="Arial"/>
          <w:sz w:val="18"/>
          <w:szCs w:val="18"/>
        </w:rPr>
        <w:t xml:space="preserve"> of Olysio treatment = $68,483.52 in addition to other medications for tr</w:t>
      </w:r>
      <w:r w:rsidR="00DE75B6">
        <w:rPr>
          <w:rFonts w:ascii="Arial" w:hAnsi="Arial" w:cs="Arial"/>
          <w:sz w:val="18"/>
          <w:szCs w:val="18"/>
        </w:rPr>
        <w:t>eatment.</w:t>
      </w:r>
    </w:p>
    <w:p w:rsidR="00824CD5" w:rsidRPr="00824CD5" w:rsidRDefault="00824CD5" w:rsidP="00824CD5">
      <w:pPr>
        <w:pStyle w:val="ListParagraph"/>
        <w:ind w:left="1440"/>
        <w:rPr>
          <w:rFonts w:ascii="Arial" w:hAnsi="Arial" w:cs="Arial"/>
          <w:sz w:val="18"/>
          <w:szCs w:val="18"/>
        </w:rPr>
      </w:pPr>
    </w:p>
    <w:p w:rsidR="009E7589" w:rsidRDefault="0021122B" w:rsidP="009E7589">
      <w:pPr>
        <w:pStyle w:val="ListParagraph"/>
        <w:ind w:left="1440"/>
        <w:rPr>
          <w:rFonts w:ascii="Arial" w:hAnsi="Arial" w:cs="Arial"/>
          <w:b/>
          <w:sz w:val="18"/>
          <w:szCs w:val="18"/>
          <w:u w:val="single"/>
        </w:rPr>
      </w:pPr>
      <w:r>
        <w:rPr>
          <w:rFonts w:ascii="Arial" w:hAnsi="Arial" w:cs="Arial"/>
          <w:b/>
          <w:sz w:val="18"/>
          <w:szCs w:val="18"/>
          <w:u w:val="single"/>
        </w:rPr>
        <w:t xml:space="preserve">HCV </w:t>
      </w:r>
      <w:r w:rsidR="007104C3">
        <w:rPr>
          <w:rFonts w:ascii="Arial" w:hAnsi="Arial" w:cs="Arial"/>
          <w:b/>
          <w:sz w:val="18"/>
          <w:szCs w:val="18"/>
          <w:u w:val="single"/>
        </w:rPr>
        <w:t xml:space="preserve">manual review PA </w:t>
      </w:r>
      <w:r>
        <w:rPr>
          <w:rFonts w:ascii="Arial" w:hAnsi="Arial" w:cs="Arial"/>
          <w:b/>
          <w:sz w:val="18"/>
          <w:szCs w:val="18"/>
          <w:u w:val="single"/>
        </w:rPr>
        <w:t>criteria:</w:t>
      </w:r>
    </w:p>
    <w:p w:rsidR="009E7589" w:rsidRDefault="009E7589" w:rsidP="00787D43">
      <w:pPr>
        <w:pStyle w:val="ListParagraph"/>
        <w:numPr>
          <w:ilvl w:val="0"/>
          <w:numId w:val="9"/>
        </w:numPr>
        <w:ind w:left="1800"/>
        <w:rPr>
          <w:rFonts w:ascii="Arial" w:hAnsi="Arial" w:cs="Arial"/>
          <w:sz w:val="18"/>
          <w:szCs w:val="18"/>
        </w:rPr>
      </w:pPr>
      <w:r w:rsidRPr="009E7589">
        <w:rPr>
          <w:rFonts w:ascii="Arial" w:hAnsi="Arial" w:cs="Arial"/>
          <w:sz w:val="18"/>
          <w:szCs w:val="18"/>
        </w:rPr>
        <w:t xml:space="preserve">Current treatment for </w:t>
      </w:r>
      <w:r w:rsidR="00D923F3">
        <w:rPr>
          <w:rFonts w:ascii="Arial" w:hAnsi="Arial" w:cs="Arial"/>
          <w:sz w:val="18"/>
          <w:szCs w:val="18"/>
        </w:rPr>
        <w:t>Genotype (GT)</w:t>
      </w:r>
      <w:r w:rsidRPr="009E7589">
        <w:rPr>
          <w:rFonts w:ascii="Arial" w:hAnsi="Arial" w:cs="Arial"/>
          <w:sz w:val="18"/>
          <w:szCs w:val="18"/>
        </w:rPr>
        <w:t xml:space="preserve">-1 of triple therapy of </w:t>
      </w:r>
      <w:r w:rsidR="00D923F3" w:rsidRPr="00D923F3">
        <w:rPr>
          <w:rFonts w:ascii="Arial" w:hAnsi="Arial" w:cs="Arial"/>
          <w:sz w:val="18"/>
          <w:szCs w:val="18"/>
        </w:rPr>
        <w:t xml:space="preserve">peginterferon </w:t>
      </w:r>
      <w:r w:rsidRPr="009E7589">
        <w:rPr>
          <w:rFonts w:ascii="Arial" w:hAnsi="Arial" w:cs="Arial"/>
          <w:sz w:val="18"/>
          <w:szCs w:val="18"/>
        </w:rPr>
        <w:t xml:space="preserve">+ </w:t>
      </w:r>
      <w:r w:rsidR="00D923F3">
        <w:rPr>
          <w:rFonts w:ascii="Arial" w:hAnsi="Arial" w:cs="Arial"/>
          <w:sz w:val="18"/>
          <w:szCs w:val="18"/>
        </w:rPr>
        <w:t>ribavirin</w:t>
      </w:r>
      <w:r w:rsidRPr="009E7589">
        <w:rPr>
          <w:rFonts w:ascii="Arial" w:hAnsi="Arial" w:cs="Arial"/>
          <w:sz w:val="18"/>
          <w:szCs w:val="18"/>
        </w:rPr>
        <w:t xml:space="preserve"> + boceprevir (Victrelis®) or telaprevir (Incivek®) will remain ava</w:t>
      </w:r>
      <w:r w:rsidR="00DE75B6">
        <w:rPr>
          <w:rFonts w:ascii="Arial" w:hAnsi="Arial" w:cs="Arial"/>
          <w:sz w:val="18"/>
          <w:szCs w:val="18"/>
        </w:rPr>
        <w:t>ilable under current criteria.</w:t>
      </w:r>
    </w:p>
    <w:p w:rsidR="009E7589" w:rsidRDefault="009E7589" w:rsidP="00787D43">
      <w:pPr>
        <w:pStyle w:val="ListParagraph"/>
        <w:numPr>
          <w:ilvl w:val="0"/>
          <w:numId w:val="9"/>
        </w:numPr>
        <w:ind w:left="1800"/>
        <w:rPr>
          <w:rFonts w:ascii="Arial" w:hAnsi="Arial" w:cs="Arial"/>
          <w:sz w:val="18"/>
          <w:szCs w:val="18"/>
        </w:rPr>
      </w:pPr>
      <w:r w:rsidRPr="009E7589">
        <w:rPr>
          <w:rFonts w:ascii="Arial" w:hAnsi="Arial" w:cs="Arial"/>
          <w:sz w:val="18"/>
          <w:szCs w:val="18"/>
        </w:rPr>
        <w:t xml:space="preserve">GT-2, GT-3, and GT-4: Current treatment of </w:t>
      </w:r>
      <w:r w:rsidR="00D923F3" w:rsidRPr="00D923F3">
        <w:rPr>
          <w:rFonts w:ascii="Arial" w:hAnsi="Arial" w:cs="Arial"/>
          <w:sz w:val="18"/>
          <w:szCs w:val="18"/>
        </w:rPr>
        <w:t>peginterferon</w:t>
      </w:r>
      <w:r w:rsidR="00D923F3" w:rsidRPr="009E7589">
        <w:rPr>
          <w:rFonts w:ascii="Arial" w:hAnsi="Arial" w:cs="Arial"/>
          <w:sz w:val="18"/>
          <w:szCs w:val="18"/>
        </w:rPr>
        <w:t xml:space="preserve"> </w:t>
      </w:r>
      <w:r w:rsidRPr="009E7589">
        <w:rPr>
          <w:rFonts w:ascii="Arial" w:hAnsi="Arial" w:cs="Arial"/>
          <w:sz w:val="18"/>
          <w:szCs w:val="18"/>
        </w:rPr>
        <w:t xml:space="preserve">+ </w:t>
      </w:r>
      <w:r w:rsidR="00D923F3">
        <w:rPr>
          <w:rFonts w:ascii="Arial" w:hAnsi="Arial" w:cs="Arial"/>
          <w:sz w:val="18"/>
          <w:szCs w:val="18"/>
        </w:rPr>
        <w:t xml:space="preserve">ribavirin </w:t>
      </w:r>
      <w:r w:rsidR="00D923F3" w:rsidRPr="009E7589">
        <w:rPr>
          <w:rFonts w:ascii="Arial" w:hAnsi="Arial" w:cs="Arial"/>
          <w:sz w:val="18"/>
          <w:szCs w:val="18"/>
        </w:rPr>
        <w:t>will</w:t>
      </w:r>
      <w:r w:rsidRPr="009E7589">
        <w:rPr>
          <w:rFonts w:ascii="Arial" w:hAnsi="Arial" w:cs="Arial"/>
          <w:sz w:val="18"/>
          <w:szCs w:val="18"/>
        </w:rPr>
        <w:t xml:space="preserve"> remain av</w:t>
      </w:r>
      <w:r w:rsidR="00DE75B6">
        <w:rPr>
          <w:rFonts w:ascii="Arial" w:hAnsi="Arial" w:cs="Arial"/>
          <w:sz w:val="18"/>
          <w:szCs w:val="18"/>
        </w:rPr>
        <w:t>ailable under current criteria.</w:t>
      </w:r>
    </w:p>
    <w:p w:rsidR="00D923F3" w:rsidRPr="009E7589" w:rsidRDefault="00D923F3" w:rsidP="009E7589">
      <w:pPr>
        <w:pStyle w:val="ListParagraph"/>
        <w:ind w:left="1440"/>
        <w:rPr>
          <w:rFonts w:ascii="Arial" w:hAnsi="Arial" w:cs="Arial"/>
          <w:sz w:val="18"/>
          <w:szCs w:val="18"/>
        </w:rPr>
      </w:pPr>
    </w:p>
    <w:p w:rsidR="009E7589" w:rsidRPr="00B42EA6" w:rsidRDefault="009E7589" w:rsidP="009E7589">
      <w:pPr>
        <w:pStyle w:val="ListParagraph"/>
        <w:ind w:left="1440"/>
        <w:rPr>
          <w:rFonts w:ascii="Arial" w:hAnsi="Arial" w:cs="Arial"/>
          <w:b/>
          <w:sz w:val="18"/>
          <w:szCs w:val="18"/>
          <w:u w:val="single"/>
        </w:rPr>
      </w:pPr>
      <w:r w:rsidRPr="00B42EA6">
        <w:rPr>
          <w:rFonts w:ascii="Arial" w:hAnsi="Arial" w:cs="Arial"/>
          <w:b/>
          <w:sz w:val="18"/>
          <w:szCs w:val="18"/>
          <w:u w:val="single"/>
        </w:rPr>
        <w:t xml:space="preserve">Criteria </w:t>
      </w:r>
      <w:r w:rsidR="00D923F3" w:rsidRPr="00B42EA6">
        <w:rPr>
          <w:rFonts w:ascii="Arial" w:hAnsi="Arial" w:cs="Arial"/>
          <w:b/>
          <w:sz w:val="18"/>
          <w:szCs w:val="18"/>
          <w:u w:val="single"/>
        </w:rPr>
        <w:t>for a</w:t>
      </w:r>
      <w:r w:rsidRPr="00B42EA6">
        <w:rPr>
          <w:rFonts w:ascii="Arial" w:hAnsi="Arial" w:cs="Arial"/>
          <w:b/>
          <w:sz w:val="18"/>
          <w:szCs w:val="18"/>
          <w:u w:val="single"/>
        </w:rPr>
        <w:t>pprov</w:t>
      </w:r>
      <w:r w:rsidR="00D923F3" w:rsidRPr="00B42EA6">
        <w:rPr>
          <w:rFonts w:ascii="Arial" w:hAnsi="Arial" w:cs="Arial"/>
          <w:b/>
          <w:sz w:val="18"/>
          <w:szCs w:val="18"/>
          <w:u w:val="single"/>
        </w:rPr>
        <w:t>al of</w:t>
      </w:r>
      <w:r w:rsidRPr="00B42EA6">
        <w:rPr>
          <w:rFonts w:ascii="Arial" w:hAnsi="Arial" w:cs="Arial"/>
          <w:b/>
          <w:sz w:val="18"/>
          <w:szCs w:val="18"/>
          <w:u w:val="single"/>
        </w:rPr>
        <w:t xml:space="preserve"> Sovaldi® (sofosbuvir):</w:t>
      </w:r>
    </w:p>
    <w:p w:rsidR="009E7589" w:rsidRPr="009E7589" w:rsidRDefault="009E7589" w:rsidP="00787D43">
      <w:pPr>
        <w:pStyle w:val="ListParagraph"/>
        <w:numPr>
          <w:ilvl w:val="0"/>
          <w:numId w:val="10"/>
        </w:numPr>
        <w:rPr>
          <w:rFonts w:ascii="Arial" w:hAnsi="Arial" w:cs="Arial"/>
          <w:sz w:val="18"/>
          <w:szCs w:val="18"/>
        </w:rPr>
      </w:pPr>
      <w:r w:rsidRPr="009E7589">
        <w:rPr>
          <w:rFonts w:ascii="Arial" w:hAnsi="Arial" w:cs="Arial"/>
          <w:sz w:val="18"/>
          <w:szCs w:val="18"/>
        </w:rPr>
        <w:t>GT-1: Treatment Naïve</w:t>
      </w:r>
      <w:r w:rsidR="00D923F3">
        <w:rPr>
          <w:rFonts w:ascii="Arial" w:hAnsi="Arial" w:cs="Arial"/>
          <w:sz w:val="18"/>
          <w:szCs w:val="18"/>
        </w:rPr>
        <w:t xml:space="preserve"> </w:t>
      </w:r>
      <w:r w:rsidR="0077395D">
        <w:rPr>
          <w:rFonts w:ascii="Arial" w:hAnsi="Arial" w:cs="Arial"/>
          <w:sz w:val="18"/>
          <w:szCs w:val="18"/>
        </w:rPr>
        <w:t>AND</w:t>
      </w:r>
      <w:r w:rsidRPr="009E7589">
        <w:rPr>
          <w:rFonts w:ascii="Arial" w:hAnsi="Arial" w:cs="Arial"/>
          <w:sz w:val="18"/>
          <w:szCs w:val="18"/>
        </w:rPr>
        <w:t xml:space="preserve"> Stage 4 Cirrhosis</w:t>
      </w:r>
      <w:r w:rsidR="00464CF3">
        <w:rPr>
          <w:rFonts w:ascii="Arial" w:hAnsi="Arial" w:cs="Arial"/>
          <w:sz w:val="18"/>
          <w:szCs w:val="18"/>
        </w:rPr>
        <w:t xml:space="preserve"> </w:t>
      </w:r>
      <w:r w:rsidR="00824CD5">
        <w:rPr>
          <w:rFonts w:ascii="Arial" w:hAnsi="Arial" w:cs="Arial"/>
          <w:sz w:val="18"/>
          <w:szCs w:val="18"/>
        </w:rPr>
        <w:t>patients</w:t>
      </w:r>
      <w:r w:rsidR="0077395D">
        <w:rPr>
          <w:rFonts w:ascii="Arial" w:hAnsi="Arial" w:cs="Arial"/>
          <w:sz w:val="18"/>
          <w:szCs w:val="18"/>
        </w:rPr>
        <w:t xml:space="preserve"> (liver biopsy required)</w:t>
      </w:r>
      <w:r w:rsidR="00824CD5">
        <w:rPr>
          <w:rFonts w:ascii="Arial" w:hAnsi="Arial" w:cs="Arial"/>
          <w:sz w:val="18"/>
          <w:szCs w:val="18"/>
        </w:rPr>
        <w:t xml:space="preserve"> </w:t>
      </w:r>
      <w:r w:rsidR="00824CD5" w:rsidRPr="009E7589">
        <w:rPr>
          <w:rFonts w:ascii="Arial" w:hAnsi="Arial" w:cs="Arial"/>
          <w:sz w:val="18"/>
          <w:szCs w:val="18"/>
        </w:rPr>
        <w:t>will</w:t>
      </w:r>
      <w:r w:rsidRPr="009E7589">
        <w:rPr>
          <w:rFonts w:ascii="Arial" w:hAnsi="Arial" w:cs="Arial"/>
          <w:sz w:val="18"/>
          <w:szCs w:val="18"/>
        </w:rPr>
        <w:t xml:space="preserve"> be reviewed on a case-by-case basis;</w:t>
      </w:r>
    </w:p>
    <w:p w:rsidR="009E7589" w:rsidRPr="009E7589" w:rsidRDefault="009E7589" w:rsidP="00787D43">
      <w:pPr>
        <w:pStyle w:val="ListParagraph"/>
        <w:numPr>
          <w:ilvl w:val="0"/>
          <w:numId w:val="10"/>
        </w:numPr>
        <w:rPr>
          <w:rFonts w:ascii="Arial" w:hAnsi="Arial" w:cs="Arial"/>
          <w:sz w:val="18"/>
          <w:szCs w:val="18"/>
        </w:rPr>
      </w:pPr>
      <w:r w:rsidRPr="009E7589">
        <w:rPr>
          <w:rFonts w:ascii="Arial" w:hAnsi="Arial" w:cs="Arial"/>
          <w:sz w:val="18"/>
          <w:szCs w:val="18"/>
        </w:rPr>
        <w:t>GT-1, GT-2, GT-3</w:t>
      </w:r>
      <w:r w:rsidR="0077395D">
        <w:rPr>
          <w:rFonts w:ascii="Arial" w:hAnsi="Arial" w:cs="Arial"/>
          <w:sz w:val="18"/>
          <w:szCs w:val="18"/>
        </w:rPr>
        <w:t>, GT-4</w:t>
      </w:r>
      <w:r w:rsidRPr="009E7589">
        <w:rPr>
          <w:rFonts w:ascii="Arial" w:hAnsi="Arial" w:cs="Arial"/>
          <w:sz w:val="18"/>
          <w:szCs w:val="18"/>
        </w:rPr>
        <w:t>: Pre-transplant patients reviewed on a case-by-case basis (treatment naïve or relapse or non-responder);</w:t>
      </w:r>
    </w:p>
    <w:p w:rsidR="009E7589" w:rsidRPr="009E7589" w:rsidRDefault="009E7589" w:rsidP="00787D43">
      <w:pPr>
        <w:pStyle w:val="ListParagraph"/>
        <w:numPr>
          <w:ilvl w:val="0"/>
          <w:numId w:val="10"/>
        </w:numPr>
        <w:rPr>
          <w:rFonts w:ascii="Arial" w:hAnsi="Arial" w:cs="Arial"/>
          <w:sz w:val="18"/>
          <w:szCs w:val="18"/>
        </w:rPr>
      </w:pPr>
      <w:r w:rsidRPr="009E7589">
        <w:rPr>
          <w:rFonts w:ascii="Arial" w:hAnsi="Arial" w:cs="Arial"/>
          <w:sz w:val="18"/>
          <w:szCs w:val="18"/>
        </w:rPr>
        <w:t xml:space="preserve">GT-2 and GT-3: </w:t>
      </w:r>
      <w:r w:rsidR="00464CF3">
        <w:rPr>
          <w:rFonts w:ascii="Arial" w:hAnsi="Arial" w:cs="Arial"/>
          <w:sz w:val="18"/>
          <w:szCs w:val="18"/>
        </w:rPr>
        <w:t>R</w:t>
      </w:r>
      <w:r w:rsidRPr="009E7589">
        <w:rPr>
          <w:rFonts w:ascii="Arial" w:hAnsi="Arial" w:cs="Arial"/>
          <w:sz w:val="18"/>
          <w:szCs w:val="18"/>
        </w:rPr>
        <w:t xml:space="preserve">elapse or non-responder to </w:t>
      </w:r>
      <w:r w:rsidR="00464CF3" w:rsidRPr="00D923F3">
        <w:rPr>
          <w:rFonts w:ascii="Arial" w:hAnsi="Arial" w:cs="Arial"/>
          <w:sz w:val="18"/>
          <w:szCs w:val="18"/>
        </w:rPr>
        <w:t>peginterferon</w:t>
      </w:r>
      <w:r w:rsidR="00464CF3" w:rsidRPr="009E7589">
        <w:rPr>
          <w:rFonts w:ascii="Arial" w:hAnsi="Arial" w:cs="Arial"/>
          <w:sz w:val="18"/>
          <w:szCs w:val="18"/>
        </w:rPr>
        <w:t xml:space="preserve"> + </w:t>
      </w:r>
      <w:r w:rsidR="00464CF3">
        <w:rPr>
          <w:rFonts w:ascii="Arial" w:hAnsi="Arial" w:cs="Arial"/>
          <w:sz w:val="18"/>
          <w:szCs w:val="18"/>
        </w:rPr>
        <w:t xml:space="preserve">ribavirin </w:t>
      </w:r>
      <w:r w:rsidRPr="009E7589">
        <w:rPr>
          <w:rFonts w:ascii="Arial" w:hAnsi="Arial" w:cs="Arial"/>
          <w:sz w:val="18"/>
          <w:szCs w:val="18"/>
        </w:rPr>
        <w:t>will be re</w:t>
      </w:r>
      <w:r w:rsidR="00DE75B6">
        <w:rPr>
          <w:rFonts w:ascii="Arial" w:hAnsi="Arial" w:cs="Arial"/>
          <w:sz w:val="18"/>
          <w:szCs w:val="18"/>
        </w:rPr>
        <w:t>viewed on a case-by-case basis;</w:t>
      </w:r>
    </w:p>
    <w:p w:rsidR="009E7589" w:rsidRPr="009E7589" w:rsidRDefault="009E7589" w:rsidP="00787D43">
      <w:pPr>
        <w:pStyle w:val="ListParagraph"/>
        <w:numPr>
          <w:ilvl w:val="0"/>
          <w:numId w:val="10"/>
        </w:numPr>
        <w:rPr>
          <w:rFonts w:ascii="Arial" w:hAnsi="Arial" w:cs="Arial"/>
          <w:sz w:val="18"/>
          <w:szCs w:val="18"/>
        </w:rPr>
      </w:pPr>
      <w:r w:rsidRPr="009E7589">
        <w:rPr>
          <w:rFonts w:ascii="Arial" w:hAnsi="Arial" w:cs="Arial"/>
          <w:sz w:val="18"/>
          <w:szCs w:val="18"/>
        </w:rPr>
        <w:t>All Genotypes:</w:t>
      </w:r>
      <w:r w:rsidR="00824CD5">
        <w:rPr>
          <w:rFonts w:ascii="Arial" w:hAnsi="Arial" w:cs="Arial"/>
          <w:sz w:val="18"/>
          <w:szCs w:val="18"/>
        </w:rPr>
        <w:t xml:space="preserve"> Any requests for Sovaldi</w:t>
      </w:r>
      <w:r w:rsidR="0077395D" w:rsidRPr="00035F56">
        <w:rPr>
          <w:rFonts w:ascii="Arial" w:hAnsi="Arial" w:cs="Arial"/>
          <w:sz w:val="18"/>
          <w:szCs w:val="18"/>
        </w:rPr>
        <w:t>®</w:t>
      </w:r>
      <w:r w:rsidR="00824CD5">
        <w:rPr>
          <w:rFonts w:ascii="Arial" w:hAnsi="Arial" w:cs="Arial"/>
          <w:sz w:val="18"/>
          <w:szCs w:val="18"/>
        </w:rPr>
        <w:t xml:space="preserve"> due to “ineligible” for or “intolerance” or </w:t>
      </w:r>
      <w:r w:rsidRPr="009E7589">
        <w:rPr>
          <w:rFonts w:ascii="Arial" w:hAnsi="Arial" w:cs="Arial"/>
          <w:sz w:val="18"/>
          <w:szCs w:val="18"/>
        </w:rPr>
        <w:t xml:space="preserve">“allergy” </w:t>
      </w:r>
      <w:r w:rsidR="00824CD5">
        <w:rPr>
          <w:rFonts w:ascii="Arial" w:hAnsi="Arial" w:cs="Arial"/>
          <w:sz w:val="18"/>
          <w:szCs w:val="18"/>
        </w:rPr>
        <w:t xml:space="preserve">to </w:t>
      </w:r>
      <w:r w:rsidR="00464CF3" w:rsidRPr="00D923F3">
        <w:rPr>
          <w:rFonts w:ascii="Arial" w:hAnsi="Arial" w:cs="Arial"/>
          <w:sz w:val="18"/>
          <w:szCs w:val="18"/>
        </w:rPr>
        <w:t>peginterferon</w:t>
      </w:r>
      <w:r w:rsidR="00464CF3" w:rsidRPr="009E7589">
        <w:rPr>
          <w:rFonts w:ascii="Arial" w:hAnsi="Arial" w:cs="Arial"/>
          <w:sz w:val="18"/>
          <w:szCs w:val="18"/>
        </w:rPr>
        <w:t xml:space="preserve"> </w:t>
      </w:r>
      <w:r w:rsidR="00464CF3">
        <w:rPr>
          <w:rFonts w:ascii="Arial" w:hAnsi="Arial" w:cs="Arial"/>
          <w:sz w:val="18"/>
          <w:szCs w:val="18"/>
        </w:rPr>
        <w:t>will</w:t>
      </w:r>
      <w:r w:rsidRPr="009E7589">
        <w:rPr>
          <w:rFonts w:ascii="Arial" w:hAnsi="Arial" w:cs="Arial"/>
          <w:sz w:val="18"/>
          <w:szCs w:val="18"/>
        </w:rPr>
        <w:t xml:space="preserve"> be reviewed on a case-by-case basis.</w:t>
      </w:r>
    </w:p>
    <w:p w:rsidR="0021122B" w:rsidRDefault="0021122B" w:rsidP="009E7589">
      <w:pPr>
        <w:pStyle w:val="ListParagraph"/>
        <w:ind w:left="1440"/>
        <w:rPr>
          <w:rFonts w:ascii="Arial" w:hAnsi="Arial" w:cs="Arial"/>
          <w:sz w:val="18"/>
          <w:szCs w:val="18"/>
        </w:rPr>
      </w:pPr>
    </w:p>
    <w:p w:rsidR="009E7589" w:rsidRPr="0021122B" w:rsidRDefault="00824CD5" w:rsidP="009E7589">
      <w:pPr>
        <w:pStyle w:val="ListParagraph"/>
        <w:ind w:left="1440"/>
        <w:rPr>
          <w:rFonts w:ascii="Arial" w:hAnsi="Arial" w:cs="Arial"/>
          <w:b/>
          <w:sz w:val="18"/>
          <w:szCs w:val="18"/>
        </w:rPr>
      </w:pPr>
      <w:r w:rsidRPr="0021122B">
        <w:rPr>
          <w:rFonts w:ascii="Arial" w:hAnsi="Arial" w:cs="Arial"/>
          <w:b/>
          <w:sz w:val="18"/>
          <w:szCs w:val="18"/>
        </w:rPr>
        <w:t>Criteria for</w:t>
      </w:r>
      <w:r w:rsidR="0021122B" w:rsidRPr="0021122B">
        <w:rPr>
          <w:rFonts w:ascii="Arial" w:hAnsi="Arial" w:cs="Arial"/>
          <w:b/>
          <w:sz w:val="18"/>
          <w:szCs w:val="18"/>
        </w:rPr>
        <w:t xml:space="preserve"> approval of</w:t>
      </w:r>
      <w:r w:rsidR="00DE75B6">
        <w:rPr>
          <w:rFonts w:ascii="Arial" w:hAnsi="Arial" w:cs="Arial"/>
          <w:b/>
          <w:sz w:val="18"/>
          <w:szCs w:val="18"/>
        </w:rPr>
        <w:t xml:space="preserve"> Olysio® (simeprevir):</w:t>
      </w:r>
    </w:p>
    <w:p w:rsidR="009E7589" w:rsidRPr="009E7589" w:rsidRDefault="009E7589" w:rsidP="00787D43">
      <w:pPr>
        <w:pStyle w:val="ListParagraph"/>
        <w:numPr>
          <w:ilvl w:val="0"/>
          <w:numId w:val="11"/>
        </w:numPr>
        <w:rPr>
          <w:rFonts w:ascii="Arial" w:hAnsi="Arial" w:cs="Arial"/>
          <w:sz w:val="18"/>
          <w:szCs w:val="18"/>
        </w:rPr>
      </w:pPr>
      <w:r w:rsidRPr="009E7589">
        <w:rPr>
          <w:rFonts w:ascii="Arial" w:hAnsi="Arial" w:cs="Arial"/>
          <w:sz w:val="18"/>
          <w:szCs w:val="18"/>
        </w:rPr>
        <w:t>GT-1: medical necessity reviewed on a case-by-case basis (as is tel</w:t>
      </w:r>
      <w:r w:rsidR="00DE75B6">
        <w:rPr>
          <w:rFonts w:ascii="Arial" w:hAnsi="Arial" w:cs="Arial"/>
          <w:sz w:val="18"/>
          <w:szCs w:val="18"/>
        </w:rPr>
        <w:t>aprevir);</w:t>
      </w:r>
    </w:p>
    <w:p w:rsidR="00EC7FE8" w:rsidRDefault="009E7589" w:rsidP="00787D43">
      <w:pPr>
        <w:pStyle w:val="ListParagraph"/>
        <w:numPr>
          <w:ilvl w:val="0"/>
          <w:numId w:val="11"/>
        </w:numPr>
        <w:rPr>
          <w:rFonts w:ascii="Arial" w:hAnsi="Arial" w:cs="Arial"/>
          <w:sz w:val="18"/>
          <w:szCs w:val="18"/>
        </w:rPr>
      </w:pPr>
      <w:r w:rsidRPr="009E7589">
        <w:rPr>
          <w:rFonts w:ascii="Arial" w:hAnsi="Arial" w:cs="Arial"/>
          <w:sz w:val="18"/>
          <w:szCs w:val="18"/>
        </w:rPr>
        <w:t>Requests for GT-4 will be rev</w:t>
      </w:r>
      <w:r w:rsidR="00DE75B6">
        <w:rPr>
          <w:rFonts w:ascii="Arial" w:hAnsi="Arial" w:cs="Arial"/>
          <w:sz w:val="18"/>
          <w:szCs w:val="18"/>
        </w:rPr>
        <w:t>iewed on a case-by-case basis.</w:t>
      </w:r>
    </w:p>
    <w:p w:rsidR="00691DCB" w:rsidRDefault="00691DCB" w:rsidP="00691DCB">
      <w:pPr>
        <w:pStyle w:val="ListParagraph"/>
        <w:ind w:left="1800"/>
        <w:rPr>
          <w:rFonts w:ascii="Arial" w:hAnsi="Arial" w:cs="Arial"/>
          <w:sz w:val="18"/>
          <w:szCs w:val="18"/>
        </w:rPr>
      </w:pPr>
    </w:p>
    <w:p w:rsidR="00691DCB" w:rsidRPr="00691DCB" w:rsidRDefault="00691DCB" w:rsidP="00691DCB">
      <w:pPr>
        <w:pStyle w:val="ListParagraph"/>
        <w:tabs>
          <w:tab w:val="left" w:pos="1095"/>
        </w:tabs>
        <w:ind w:left="1080"/>
        <w:rPr>
          <w:rFonts w:ascii="Arial" w:hAnsi="Arial" w:cs="Arial"/>
          <w:b/>
          <w:sz w:val="18"/>
          <w:szCs w:val="18"/>
        </w:rPr>
      </w:pPr>
      <w:r w:rsidRPr="00691DCB">
        <w:rPr>
          <w:rFonts w:ascii="Arial" w:hAnsi="Arial" w:cs="Arial"/>
          <w:b/>
          <w:sz w:val="18"/>
          <w:szCs w:val="18"/>
        </w:rPr>
        <w:t xml:space="preserve">The completed HCV </w:t>
      </w:r>
      <w:r w:rsidR="00AD7AE6">
        <w:rPr>
          <w:rFonts w:ascii="Arial" w:hAnsi="Arial" w:cs="Arial"/>
          <w:b/>
          <w:sz w:val="18"/>
          <w:szCs w:val="18"/>
        </w:rPr>
        <w:t>Statement of Medical Necessity</w:t>
      </w:r>
      <w:r w:rsidRPr="00691DCB">
        <w:rPr>
          <w:rFonts w:ascii="Arial" w:hAnsi="Arial" w:cs="Arial"/>
          <w:b/>
          <w:sz w:val="18"/>
          <w:szCs w:val="18"/>
        </w:rPr>
        <w:t>, and any additional information for exception requests, can be faxed to the Medicaid Pharm</w:t>
      </w:r>
      <w:r w:rsidR="00DE75B6">
        <w:rPr>
          <w:rFonts w:ascii="Arial" w:hAnsi="Arial" w:cs="Arial"/>
          <w:b/>
          <w:sz w:val="18"/>
          <w:szCs w:val="18"/>
        </w:rPr>
        <w:t xml:space="preserve">acy Program office fax number: </w:t>
      </w:r>
      <w:r w:rsidRPr="00691DCB">
        <w:rPr>
          <w:rFonts w:ascii="Arial" w:hAnsi="Arial" w:cs="Arial"/>
          <w:b/>
          <w:sz w:val="18"/>
          <w:szCs w:val="18"/>
        </w:rPr>
        <w:t>501-683-4124.</w:t>
      </w:r>
    </w:p>
    <w:p w:rsidR="00691DCB" w:rsidRDefault="00691DCB" w:rsidP="00691DCB">
      <w:pPr>
        <w:pStyle w:val="ListParagraph"/>
        <w:ind w:left="1800"/>
        <w:rPr>
          <w:rFonts w:ascii="Arial" w:hAnsi="Arial" w:cs="Arial"/>
          <w:sz w:val="18"/>
          <w:szCs w:val="18"/>
        </w:rPr>
      </w:pPr>
    </w:p>
    <w:p w:rsidR="00CA20E2" w:rsidRPr="00464DAF" w:rsidRDefault="00CA20E2" w:rsidP="00CA20E2">
      <w:pPr>
        <w:pStyle w:val="ListParagraph"/>
        <w:tabs>
          <w:tab w:val="left" w:pos="1095"/>
        </w:tabs>
        <w:ind w:left="1080"/>
        <w:rPr>
          <w:rFonts w:ascii="Arial" w:hAnsi="Arial" w:cs="Arial"/>
          <w:bCs/>
          <w:sz w:val="18"/>
          <w:szCs w:val="18"/>
        </w:rPr>
      </w:pPr>
    </w:p>
    <w:p w:rsidR="007104C3" w:rsidRDefault="00227AD3" w:rsidP="007104C3">
      <w:pPr>
        <w:pStyle w:val="ListParagraph"/>
        <w:numPr>
          <w:ilvl w:val="0"/>
          <w:numId w:val="4"/>
        </w:numPr>
        <w:rPr>
          <w:rFonts w:ascii="Arial" w:hAnsi="Arial" w:cs="Arial"/>
          <w:b/>
          <w:sz w:val="18"/>
          <w:szCs w:val="18"/>
        </w:rPr>
      </w:pPr>
      <w:r w:rsidRPr="00D62712">
        <w:rPr>
          <w:rFonts w:ascii="Arial" w:hAnsi="Arial" w:cs="Arial"/>
          <w:b/>
          <w:sz w:val="18"/>
          <w:szCs w:val="18"/>
        </w:rPr>
        <w:t>CLINICAL EDITS THROUGH POINT-OF-SALE (POS) EDIT SYSTEM</w:t>
      </w:r>
      <w:r w:rsidR="00DE75B6">
        <w:rPr>
          <w:rFonts w:ascii="Arial" w:hAnsi="Arial" w:cs="Arial"/>
          <w:b/>
          <w:sz w:val="18"/>
          <w:szCs w:val="18"/>
        </w:rPr>
        <w:t>:</w:t>
      </w:r>
    </w:p>
    <w:p w:rsidR="007104C3" w:rsidRPr="007104C3" w:rsidRDefault="007104C3" w:rsidP="00787D43">
      <w:pPr>
        <w:pStyle w:val="ListParagraph"/>
        <w:numPr>
          <w:ilvl w:val="3"/>
          <w:numId w:val="16"/>
        </w:numPr>
        <w:rPr>
          <w:rFonts w:ascii="Arial" w:hAnsi="Arial" w:cs="Arial"/>
          <w:b/>
          <w:sz w:val="18"/>
          <w:szCs w:val="18"/>
        </w:rPr>
      </w:pPr>
      <w:r w:rsidRPr="007104C3">
        <w:rPr>
          <w:rFonts w:ascii="Arial" w:hAnsi="Arial" w:cs="Arial"/>
          <w:b/>
          <w:sz w:val="18"/>
          <w:szCs w:val="18"/>
          <w:u w:val="single"/>
        </w:rPr>
        <w:t>Lupaneta® (leuprolide/norethindrone acet</w:t>
      </w:r>
      <w:r w:rsidR="00F355DA">
        <w:rPr>
          <w:rFonts w:ascii="Arial" w:hAnsi="Arial" w:cs="Arial"/>
          <w:b/>
          <w:sz w:val="18"/>
          <w:szCs w:val="18"/>
          <w:u w:val="single"/>
        </w:rPr>
        <w:t>.</w:t>
      </w:r>
      <w:r w:rsidRPr="007104C3">
        <w:rPr>
          <w:rFonts w:ascii="Arial" w:hAnsi="Arial" w:cs="Arial"/>
          <w:b/>
          <w:sz w:val="18"/>
          <w:szCs w:val="18"/>
          <w:u w:val="single"/>
        </w:rPr>
        <w:t>) 3.5-5 mg 1 month</w:t>
      </w:r>
      <w:r>
        <w:rPr>
          <w:rFonts w:ascii="Arial" w:hAnsi="Arial" w:cs="Arial"/>
          <w:b/>
          <w:sz w:val="18"/>
          <w:szCs w:val="18"/>
          <w:u w:val="single"/>
        </w:rPr>
        <w:t xml:space="preserve"> </w:t>
      </w:r>
      <w:r w:rsidR="00667741">
        <w:rPr>
          <w:rFonts w:ascii="Arial" w:hAnsi="Arial" w:cs="Arial"/>
          <w:b/>
          <w:sz w:val="18"/>
          <w:szCs w:val="18"/>
          <w:u w:val="single"/>
        </w:rPr>
        <w:t>kit and 11.25-5 mg 3 month kit:</w:t>
      </w:r>
    </w:p>
    <w:p w:rsidR="007104C3" w:rsidRDefault="00B95EF8" w:rsidP="007104C3">
      <w:pPr>
        <w:pStyle w:val="ListParagraph"/>
        <w:ind w:left="1440"/>
        <w:rPr>
          <w:rFonts w:ascii="Arial" w:hAnsi="Arial" w:cs="Arial"/>
          <w:sz w:val="18"/>
          <w:szCs w:val="18"/>
        </w:rPr>
      </w:pPr>
      <w:r w:rsidRPr="007104C3">
        <w:rPr>
          <w:rFonts w:ascii="Arial" w:hAnsi="Arial" w:cs="Arial"/>
          <w:sz w:val="18"/>
          <w:szCs w:val="18"/>
        </w:rPr>
        <w:t>Lupaneta</w:t>
      </w:r>
      <w:r>
        <w:rPr>
          <w:rFonts w:ascii="Arial" w:hAnsi="Arial" w:cs="Arial"/>
          <w:sz w:val="18"/>
          <w:szCs w:val="18"/>
        </w:rPr>
        <w:t>®</w:t>
      </w:r>
      <w:r w:rsidRPr="007104C3">
        <w:rPr>
          <w:rFonts w:ascii="Arial" w:hAnsi="Arial" w:cs="Arial"/>
          <w:sz w:val="18"/>
          <w:szCs w:val="18"/>
        </w:rPr>
        <w:t xml:space="preserve"> Pack </w:t>
      </w:r>
      <w:r>
        <w:rPr>
          <w:rFonts w:ascii="Arial" w:hAnsi="Arial" w:cs="Arial"/>
          <w:sz w:val="18"/>
          <w:szCs w:val="18"/>
        </w:rPr>
        <w:t xml:space="preserve">kit contains </w:t>
      </w:r>
      <w:r w:rsidR="007104C3" w:rsidRPr="007104C3">
        <w:rPr>
          <w:rFonts w:ascii="Arial" w:hAnsi="Arial" w:cs="Arial"/>
          <w:sz w:val="18"/>
          <w:szCs w:val="18"/>
        </w:rPr>
        <w:t>leuprolide acetate for depot suspension and norethindrone acetate tablets</w:t>
      </w:r>
      <w:r w:rsidR="00B42EA6">
        <w:rPr>
          <w:rFonts w:ascii="Arial" w:hAnsi="Arial" w:cs="Arial"/>
          <w:sz w:val="18"/>
          <w:szCs w:val="18"/>
        </w:rPr>
        <w:t xml:space="preserve">. </w:t>
      </w:r>
      <w:r>
        <w:rPr>
          <w:rFonts w:ascii="Arial" w:hAnsi="Arial" w:cs="Arial"/>
          <w:sz w:val="18"/>
          <w:szCs w:val="18"/>
        </w:rPr>
        <w:t>Lupaneta</w:t>
      </w:r>
      <w:r w:rsidR="00AD7AE6">
        <w:rPr>
          <w:rFonts w:ascii="Arial" w:hAnsi="Arial" w:cs="Arial"/>
          <w:sz w:val="18"/>
          <w:szCs w:val="18"/>
        </w:rPr>
        <w:t>®</w:t>
      </w:r>
      <w:r>
        <w:rPr>
          <w:rFonts w:ascii="Arial" w:hAnsi="Arial" w:cs="Arial"/>
          <w:sz w:val="18"/>
          <w:szCs w:val="18"/>
        </w:rPr>
        <w:t xml:space="preserve"> Kit </w:t>
      </w:r>
      <w:r w:rsidR="007104C3" w:rsidRPr="007104C3">
        <w:rPr>
          <w:rFonts w:ascii="Arial" w:hAnsi="Arial" w:cs="Arial"/>
          <w:sz w:val="18"/>
          <w:szCs w:val="18"/>
        </w:rPr>
        <w:t>is indicated for initial management of the painful symptoms of endometriosis and for manage</w:t>
      </w:r>
      <w:r w:rsidR="00C73957">
        <w:rPr>
          <w:rFonts w:ascii="Arial" w:hAnsi="Arial" w:cs="Arial"/>
          <w:sz w:val="18"/>
          <w:szCs w:val="18"/>
        </w:rPr>
        <w:t>ment of recurrence of symptoms.</w:t>
      </w:r>
      <w:r w:rsidR="007104C3">
        <w:rPr>
          <w:rFonts w:ascii="Arial" w:hAnsi="Arial" w:cs="Arial"/>
          <w:sz w:val="18"/>
          <w:szCs w:val="18"/>
        </w:rPr>
        <w:t xml:space="preserve"> </w:t>
      </w:r>
      <w:r w:rsidR="007104C3" w:rsidRPr="007104C3">
        <w:rPr>
          <w:rFonts w:ascii="Arial" w:hAnsi="Arial" w:cs="Arial"/>
          <w:sz w:val="18"/>
          <w:szCs w:val="18"/>
        </w:rPr>
        <w:t>Duration of use is limited due to concerns about adverse imp</w:t>
      </w:r>
      <w:r w:rsidR="00667741">
        <w:rPr>
          <w:rFonts w:ascii="Arial" w:hAnsi="Arial" w:cs="Arial"/>
          <w:sz w:val="18"/>
          <w:szCs w:val="18"/>
        </w:rPr>
        <w:t xml:space="preserve">act on bone mineral density. </w:t>
      </w:r>
      <w:r w:rsidR="007104C3" w:rsidRPr="007104C3">
        <w:rPr>
          <w:rFonts w:ascii="Arial" w:hAnsi="Arial" w:cs="Arial"/>
          <w:sz w:val="18"/>
          <w:szCs w:val="18"/>
        </w:rPr>
        <w:t>The initial treatment course of Lupaneta</w:t>
      </w:r>
      <w:r w:rsidR="00AD7AE6">
        <w:rPr>
          <w:rFonts w:ascii="Arial" w:hAnsi="Arial" w:cs="Arial"/>
          <w:sz w:val="18"/>
          <w:szCs w:val="18"/>
        </w:rPr>
        <w:t>®</w:t>
      </w:r>
      <w:r w:rsidR="007104C3" w:rsidRPr="007104C3">
        <w:rPr>
          <w:rFonts w:ascii="Arial" w:hAnsi="Arial" w:cs="Arial"/>
          <w:sz w:val="18"/>
          <w:szCs w:val="18"/>
        </w:rPr>
        <w:t xml:space="preserve"> Pack is limited to six months. A single retreatment course of not more than six months may be administered after the initial course of treatment if symptoms recur. Use of Lupaneta</w:t>
      </w:r>
      <w:r w:rsidR="00AD7AE6">
        <w:rPr>
          <w:rFonts w:ascii="Arial" w:hAnsi="Arial" w:cs="Arial"/>
          <w:sz w:val="18"/>
          <w:szCs w:val="18"/>
        </w:rPr>
        <w:t>®</w:t>
      </w:r>
      <w:r w:rsidR="007104C3" w:rsidRPr="007104C3">
        <w:rPr>
          <w:rFonts w:ascii="Arial" w:hAnsi="Arial" w:cs="Arial"/>
          <w:sz w:val="18"/>
          <w:szCs w:val="18"/>
        </w:rPr>
        <w:t xml:space="preserve"> Pack for longer than a total of 12 months is not recommended.</w:t>
      </w:r>
      <w:r w:rsidR="00F57C37">
        <w:rPr>
          <w:rFonts w:ascii="Arial" w:hAnsi="Arial" w:cs="Arial"/>
          <w:sz w:val="18"/>
          <w:szCs w:val="18"/>
        </w:rPr>
        <w:t xml:space="preserve"> </w:t>
      </w:r>
      <w:r w:rsidR="007104C3" w:rsidRPr="007104C3">
        <w:rPr>
          <w:rFonts w:ascii="Arial" w:hAnsi="Arial" w:cs="Arial"/>
          <w:sz w:val="18"/>
          <w:szCs w:val="18"/>
        </w:rPr>
        <w:t>Norethindrone acetate is contraindicated in women with the following conditions:</w:t>
      </w:r>
      <w:r w:rsidR="007104C3">
        <w:rPr>
          <w:rFonts w:ascii="Arial" w:hAnsi="Arial" w:cs="Arial"/>
          <w:sz w:val="18"/>
          <w:szCs w:val="18"/>
        </w:rPr>
        <w:t xml:space="preserve"> </w:t>
      </w:r>
      <w:r w:rsidR="00F355DA">
        <w:rPr>
          <w:rFonts w:ascii="Arial" w:hAnsi="Arial" w:cs="Arial"/>
          <w:sz w:val="18"/>
          <w:szCs w:val="18"/>
        </w:rPr>
        <w:t>th</w:t>
      </w:r>
      <w:r w:rsidR="00F355DA" w:rsidRPr="007104C3">
        <w:rPr>
          <w:rFonts w:ascii="Arial" w:hAnsi="Arial" w:cs="Arial"/>
          <w:sz w:val="18"/>
          <w:szCs w:val="18"/>
        </w:rPr>
        <w:t>rombophlebitis</w:t>
      </w:r>
      <w:r w:rsidR="007104C3" w:rsidRPr="007104C3">
        <w:rPr>
          <w:rFonts w:ascii="Arial" w:hAnsi="Arial" w:cs="Arial"/>
          <w:sz w:val="18"/>
          <w:szCs w:val="18"/>
        </w:rPr>
        <w:t>, thromboembolic disorders, cerebral apoplexy, or a past history of these conditions</w:t>
      </w:r>
      <w:r w:rsidR="007104C3">
        <w:rPr>
          <w:rFonts w:ascii="Arial" w:hAnsi="Arial" w:cs="Arial"/>
          <w:sz w:val="18"/>
          <w:szCs w:val="18"/>
        </w:rPr>
        <w:t>; m</w:t>
      </w:r>
      <w:r w:rsidR="007104C3" w:rsidRPr="007104C3">
        <w:rPr>
          <w:rFonts w:ascii="Arial" w:hAnsi="Arial" w:cs="Arial"/>
          <w:sz w:val="18"/>
          <w:szCs w:val="18"/>
        </w:rPr>
        <w:t>arkedly impaired liver function or liver disease</w:t>
      </w:r>
      <w:r w:rsidR="00AD7AE6">
        <w:rPr>
          <w:rFonts w:ascii="Arial" w:hAnsi="Arial" w:cs="Arial"/>
          <w:sz w:val="18"/>
          <w:szCs w:val="18"/>
        </w:rPr>
        <w:t xml:space="preserve"> and</w:t>
      </w:r>
      <w:r w:rsidR="007104C3">
        <w:rPr>
          <w:rFonts w:ascii="Arial" w:hAnsi="Arial" w:cs="Arial"/>
          <w:sz w:val="18"/>
          <w:szCs w:val="18"/>
        </w:rPr>
        <w:t xml:space="preserve"> k</w:t>
      </w:r>
      <w:r w:rsidR="007104C3" w:rsidRPr="007104C3">
        <w:rPr>
          <w:rFonts w:ascii="Arial" w:hAnsi="Arial" w:cs="Arial"/>
          <w:sz w:val="18"/>
          <w:szCs w:val="18"/>
        </w:rPr>
        <w:t>nown or suspected carcinoma of the breast</w:t>
      </w:r>
      <w:r w:rsidR="007104C3">
        <w:rPr>
          <w:rFonts w:ascii="Arial" w:hAnsi="Arial" w:cs="Arial"/>
          <w:sz w:val="18"/>
          <w:szCs w:val="18"/>
        </w:rPr>
        <w:t>.</w:t>
      </w:r>
    </w:p>
    <w:p w:rsidR="0057484A" w:rsidRDefault="0057484A" w:rsidP="007104C3">
      <w:pPr>
        <w:pStyle w:val="ListParagraph"/>
        <w:ind w:left="1440"/>
        <w:rPr>
          <w:rFonts w:ascii="Arial" w:hAnsi="Arial" w:cs="Arial"/>
          <w:sz w:val="18"/>
          <w:szCs w:val="18"/>
        </w:rPr>
      </w:pPr>
    </w:p>
    <w:p w:rsidR="00035F56" w:rsidRPr="00680CE1" w:rsidRDefault="00035F56" w:rsidP="00035F56">
      <w:pPr>
        <w:pStyle w:val="ListParagraph"/>
        <w:ind w:left="1440"/>
        <w:rPr>
          <w:rFonts w:ascii="Arial" w:hAnsi="Arial" w:cs="Arial"/>
          <w:sz w:val="18"/>
          <w:szCs w:val="18"/>
        </w:rPr>
      </w:pPr>
      <w:r w:rsidRPr="00680CE1">
        <w:rPr>
          <w:rFonts w:ascii="Arial" w:hAnsi="Arial" w:cs="Arial"/>
          <w:sz w:val="18"/>
          <w:szCs w:val="18"/>
        </w:rPr>
        <w:t>The reimbursement rates for the Lupaneta</w:t>
      </w:r>
      <w:r w:rsidR="00AD7AE6">
        <w:rPr>
          <w:rFonts w:ascii="Arial" w:hAnsi="Arial" w:cs="Arial"/>
          <w:sz w:val="18"/>
          <w:szCs w:val="18"/>
        </w:rPr>
        <w:t>®</w:t>
      </w:r>
      <w:r w:rsidRPr="00680CE1">
        <w:rPr>
          <w:rFonts w:ascii="Arial" w:hAnsi="Arial" w:cs="Arial"/>
          <w:sz w:val="18"/>
          <w:szCs w:val="18"/>
        </w:rPr>
        <w:t xml:space="preserve"> </w:t>
      </w:r>
      <w:r w:rsidR="00B95EF8" w:rsidRPr="00680CE1">
        <w:rPr>
          <w:rFonts w:ascii="Arial" w:hAnsi="Arial" w:cs="Arial"/>
          <w:sz w:val="18"/>
          <w:szCs w:val="18"/>
        </w:rPr>
        <w:t xml:space="preserve">pack </w:t>
      </w:r>
      <w:r w:rsidR="00F57C37">
        <w:rPr>
          <w:rFonts w:ascii="Arial" w:hAnsi="Arial" w:cs="Arial"/>
          <w:sz w:val="18"/>
          <w:szCs w:val="18"/>
        </w:rPr>
        <w:t>kits are as follows:</w:t>
      </w:r>
    </w:p>
    <w:p w:rsidR="00035F56" w:rsidRPr="00680CE1" w:rsidRDefault="00035F56" w:rsidP="00035F56">
      <w:pPr>
        <w:pStyle w:val="ListParagraph"/>
        <w:ind w:left="1440"/>
        <w:rPr>
          <w:rFonts w:ascii="Arial" w:hAnsi="Arial" w:cs="Arial"/>
          <w:sz w:val="18"/>
          <w:szCs w:val="18"/>
        </w:rPr>
      </w:pPr>
      <w:r w:rsidRPr="00680CE1">
        <w:rPr>
          <w:rFonts w:ascii="Arial" w:hAnsi="Arial" w:cs="Arial"/>
          <w:sz w:val="18"/>
          <w:szCs w:val="18"/>
        </w:rPr>
        <w:t>1 month 3.75/5 mg kit = $884.48</w:t>
      </w:r>
    </w:p>
    <w:p w:rsidR="00035F56" w:rsidRPr="00680CE1" w:rsidRDefault="00F57C37" w:rsidP="00035F56">
      <w:pPr>
        <w:pStyle w:val="ListParagraph"/>
        <w:ind w:left="1440"/>
        <w:rPr>
          <w:rFonts w:ascii="Arial" w:hAnsi="Arial" w:cs="Arial"/>
          <w:sz w:val="18"/>
          <w:szCs w:val="18"/>
        </w:rPr>
      </w:pPr>
      <w:r>
        <w:rPr>
          <w:rFonts w:ascii="Arial" w:hAnsi="Arial" w:cs="Arial"/>
          <w:sz w:val="18"/>
          <w:szCs w:val="18"/>
        </w:rPr>
        <w:t>3 month 11.25/5 mg kit = $</w:t>
      </w:r>
      <w:r w:rsidR="00035F56" w:rsidRPr="00680CE1">
        <w:rPr>
          <w:rFonts w:ascii="Arial" w:hAnsi="Arial" w:cs="Arial"/>
          <w:sz w:val="18"/>
          <w:szCs w:val="18"/>
        </w:rPr>
        <w:t>2,653.51</w:t>
      </w:r>
    </w:p>
    <w:p w:rsidR="00035F56" w:rsidRPr="00680CE1" w:rsidRDefault="00035F56" w:rsidP="00035F56">
      <w:pPr>
        <w:pStyle w:val="ListParagraph"/>
        <w:ind w:left="1440"/>
        <w:rPr>
          <w:rFonts w:ascii="Arial" w:hAnsi="Arial" w:cs="Arial"/>
          <w:sz w:val="18"/>
          <w:szCs w:val="18"/>
        </w:rPr>
      </w:pPr>
    </w:p>
    <w:p w:rsidR="00035F56" w:rsidRPr="00680CE1" w:rsidRDefault="00035F56" w:rsidP="00035F56">
      <w:pPr>
        <w:pStyle w:val="ListParagraph"/>
        <w:ind w:left="1440"/>
        <w:rPr>
          <w:rFonts w:ascii="Arial" w:hAnsi="Arial" w:cs="Arial"/>
          <w:sz w:val="18"/>
          <w:szCs w:val="18"/>
        </w:rPr>
      </w:pPr>
      <w:r w:rsidRPr="00680CE1">
        <w:rPr>
          <w:rFonts w:ascii="Arial" w:hAnsi="Arial" w:cs="Arial"/>
          <w:sz w:val="18"/>
          <w:szCs w:val="18"/>
        </w:rPr>
        <w:t xml:space="preserve">The Maximum Allowable Cost (MAC) for </w:t>
      </w:r>
      <w:r w:rsidR="00B95EF8" w:rsidRPr="00680CE1">
        <w:rPr>
          <w:rFonts w:ascii="Arial" w:hAnsi="Arial" w:cs="Arial"/>
          <w:sz w:val="18"/>
          <w:szCs w:val="18"/>
        </w:rPr>
        <w:t>the single ingredient leuprolide (</w:t>
      </w:r>
      <w:r w:rsidR="00094867" w:rsidRPr="00680CE1">
        <w:rPr>
          <w:rFonts w:ascii="Arial" w:hAnsi="Arial" w:cs="Arial"/>
          <w:sz w:val="18"/>
          <w:szCs w:val="18"/>
        </w:rPr>
        <w:t>e.g., Lupron</w:t>
      </w:r>
      <w:r w:rsidR="00B95EF8" w:rsidRPr="00680CE1">
        <w:rPr>
          <w:rFonts w:ascii="Arial" w:hAnsi="Arial" w:cs="Arial"/>
          <w:sz w:val="18"/>
          <w:szCs w:val="18"/>
        </w:rPr>
        <w:t>®)</w:t>
      </w:r>
      <w:r w:rsidRPr="00680CE1">
        <w:rPr>
          <w:rFonts w:ascii="Arial" w:hAnsi="Arial" w:cs="Arial"/>
          <w:sz w:val="18"/>
          <w:szCs w:val="18"/>
        </w:rPr>
        <w:t xml:space="preserve"> injection is as follows:</w:t>
      </w:r>
    </w:p>
    <w:p w:rsidR="00035F56" w:rsidRPr="00680CE1" w:rsidRDefault="00035F56" w:rsidP="00035F56">
      <w:pPr>
        <w:pStyle w:val="ListParagraph"/>
        <w:ind w:left="1440"/>
        <w:rPr>
          <w:rFonts w:ascii="Arial" w:hAnsi="Arial" w:cs="Arial"/>
          <w:sz w:val="18"/>
          <w:szCs w:val="18"/>
        </w:rPr>
      </w:pPr>
      <w:r w:rsidRPr="00680CE1">
        <w:rPr>
          <w:rFonts w:ascii="Arial" w:hAnsi="Arial" w:cs="Arial"/>
          <w:sz w:val="18"/>
          <w:szCs w:val="18"/>
        </w:rPr>
        <w:t xml:space="preserve">1 month 3.75 mg = </w:t>
      </w:r>
      <w:r w:rsidR="00094867" w:rsidRPr="00680CE1">
        <w:rPr>
          <w:rFonts w:ascii="Arial" w:hAnsi="Arial" w:cs="Arial"/>
          <w:sz w:val="18"/>
          <w:szCs w:val="18"/>
        </w:rPr>
        <w:t>$</w:t>
      </w:r>
      <w:r w:rsidRPr="00680CE1">
        <w:rPr>
          <w:rFonts w:ascii="Arial" w:hAnsi="Arial" w:cs="Arial"/>
          <w:sz w:val="18"/>
          <w:szCs w:val="18"/>
        </w:rPr>
        <w:t>799.</w:t>
      </w:r>
      <w:r w:rsidR="00094867" w:rsidRPr="00680CE1">
        <w:rPr>
          <w:rFonts w:ascii="Arial" w:hAnsi="Arial" w:cs="Arial"/>
          <w:sz w:val="18"/>
          <w:szCs w:val="18"/>
        </w:rPr>
        <w:t>78</w:t>
      </w:r>
    </w:p>
    <w:p w:rsidR="00035F56" w:rsidRPr="00680CE1" w:rsidRDefault="00F57C37" w:rsidP="00035F56">
      <w:pPr>
        <w:pStyle w:val="ListParagraph"/>
        <w:ind w:left="1440"/>
        <w:rPr>
          <w:rFonts w:ascii="Arial" w:hAnsi="Arial" w:cs="Arial"/>
          <w:sz w:val="18"/>
          <w:szCs w:val="18"/>
        </w:rPr>
      </w:pPr>
      <w:r>
        <w:rPr>
          <w:rFonts w:ascii="Arial" w:hAnsi="Arial" w:cs="Arial"/>
          <w:sz w:val="18"/>
          <w:szCs w:val="18"/>
        </w:rPr>
        <w:t>3 month 11.25 mg = $</w:t>
      </w:r>
      <w:r w:rsidR="00035F56" w:rsidRPr="00680CE1">
        <w:rPr>
          <w:rFonts w:ascii="Arial" w:hAnsi="Arial" w:cs="Arial"/>
          <w:sz w:val="18"/>
          <w:szCs w:val="18"/>
        </w:rPr>
        <w:t>1,773.39</w:t>
      </w:r>
    </w:p>
    <w:p w:rsidR="00035F56" w:rsidRPr="00680CE1" w:rsidRDefault="00035F56" w:rsidP="007104C3">
      <w:pPr>
        <w:pStyle w:val="ListParagraph"/>
        <w:ind w:left="1440"/>
        <w:rPr>
          <w:rFonts w:ascii="Arial" w:hAnsi="Arial" w:cs="Arial"/>
          <w:sz w:val="18"/>
          <w:szCs w:val="18"/>
        </w:rPr>
      </w:pPr>
    </w:p>
    <w:p w:rsidR="00035F56" w:rsidRPr="00680CE1" w:rsidRDefault="0057484A" w:rsidP="007104C3">
      <w:pPr>
        <w:pStyle w:val="ListParagraph"/>
        <w:ind w:left="1440"/>
        <w:rPr>
          <w:rFonts w:ascii="Arial" w:hAnsi="Arial" w:cs="Arial"/>
          <w:sz w:val="18"/>
          <w:szCs w:val="18"/>
        </w:rPr>
      </w:pPr>
      <w:r w:rsidRPr="00680CE1">
        <w:rPr>
          <w:rFonts w:ascii="Arial" w:hAnsi="Arial" w:cs="Arial"/>
          <w:sz w:val="18"/>
          <w:szCs w:val="18"/>
        </w:rPr>
        <w:t>Norethindrone</w:t>
      </w:r>
      <w:r w:rsidR="00B95EF8" w:rsidRPr="00680CE1">
        <w:rPr>
          <w:rFonts w:ascii="Arial" w:hAnsi="Arial" w:cs="Arial"/>
          <w:sz w:val="18"/>
          <w:szCs w:val="18"/>
        </w:rPr>
        <w:t xml:space="preserve"> 5 mg tablets are available without a PA. </w:t>
      </w:r>
      <w:r w:rsidR="00035F56" w:rsidRPr="00680CE1">
        <w:rPr>
          <w:rFonts w:ascii="Arial" w:hAnsi="Arial" w:cs="Arial"/>
          <w:sz w:val="18"/>
          <w:szCs w:val="18"/>
        </w:rPr>
        <w:t>The reimbursement rate for the norethindrone 5 mg tablet, as a separate prescription, ranges from $1.13 to $3.53 per tablet.</w:t>
      </w:r>
    </w:p>
    <w:p w:rsidR="00035F56" w:rsidRPr="00680CE1" w:rsidRDefault="00035F56" w:rsidP="007104C3">
      <w:pPr>
        <w:pStyle w:val="ListParagraph"/>
        <w:ind w:left="1440"/>
        <w:rPr>
          <w:rFonts w:ascii="Arial" w:hAnsi="Arial" w:cs="Arial"/>
          <w:sz w:val="18"/>
          <w:szCs w:val="18"/>
        </w:rPr>
      </w:pPr>
    </w:p>
    <w:p w:rsidR="00751260" w:rsidRPr="00752AAA" w:rsidRDefault="00751260" w:rsidP="00751260">
      <w:pPr>
        <w:pStyle w:val="ListParagraph"/>
        <w:ind w:left="1440"/>
        <w:rPr>
          <w:rFonts w:ascii="Arial" w:hAnsi="Arial" w:cs="Arial"/>
          <w:sz w:val="18"/>
          <w:szCs w:val="18"/>
        </w:rPr>
      </w:pPr>
      <w:r w:rsidRPr="00752AAA">
        <w:rPr>
          <w:rFonts w:ascii="Arial" w:hAnsi="Arial" w:cs="Arial"/>
          <w:sz w:val="18"/>
          <w:szCs w:val="18"/>
        </w:rPr>
        <w:t xml:space="preserve">The FDA approved indications for Lupaneta Pack Kits stated above are the same as the approved indications for the </w:t>
      </w:r>
      <w:r w:rsidR="00AD7AE6">
        <w:rPr>
          <w:rFonts w:ascii="Arial" w:hAnsi="Arial" w:cs="Arial"/>
          <w:sz w:val="18"/>
          <w:szCs w:val="18"/>
        </w:rPr>
        <w:t>l</w:t>
      </w:r>
      <w:r w:rsidRPr="00752AAA">
        <w:rPr>
          <w:rFonts w:ascii="Arial" w:hAnsi="Arial" w:cs="Arial"/>
          <w:sz w:val="18"/>
          <w:szCs w:val="18"/>
        </w:rPr>
        <w:t>euprolide injection (e.g., Lupron® Inj.) 3.75 mg-1 month and 11.25 mg-3 month although the duration of total therapy of Lupaneta</w:t>
      </w:r>
      <w:r w:rsidR="00AD7AE6">
        <w:rPr>
          <w:rFonts w:ascii="Arial" w:hAnsi="Arial" w:cs="Arial"/>
          <w:sz w:val="18"/>
          <w:szCs w:val="18"/>
        </w:rPr>
        <w:t>®</w:t>
      </w:r>
      <w:r w:rsidRPr="00752AAA">
        <w:rPr>
          <w:rFonts w:ascii="Arial" w:hAnsi="Arial" w:cs="Arial"/>
          <w:sz w:val="18"/>
          <w:szCs w:val="18"/>
        </w:rPr>
        <w:t xml:space="preserve"> Pack for longer than a total of</w:t>
      </w:r>
      <w:r w:rsidR="00F57C37">
        <w:rPr>
          <w:rFonts w:ascii="Arial" w:hAnsi="Arial" w:cs="Arial"/>
          <w:sz w:val="18"/>
          <w:szCs w:val="18"/>
        </w:rPr>
        <w:t xml:space="preserve"> 12 months is not recommended.</w:t>
      </w:r>
    </w:p>
    <w:p w:rsidR="00751260" w:rsidRPr="00752AAA" w:rsidRDefault="00751260" w:rsidP="007104C3">
      <w:pPr>
        <w:pStyle w:val="ListParagraph"/>
        <w:ind w:left="1440"/>
        <w:rPr>
          <w:rFonts w:ascii="Arial" w:hAnsi="Arial" w:cs="Arial"/>
          <w:sz w:val="18"/>
          <w:szCs w:val="18"/>
        </w:rPr>
      </w:pPr>
    </w:p>
    <w:p w:rsidR="007104C3" w:rsidRDefault="0057484A" w:rsidP="007104C3">
      <w:pPr>
        <w:pStyle w:val="ListParagraph"/>
        <w:ind w:left="1440"/>
        <w:rPr>
          <w:rFonts w:ascii="Arial" w:hAnsi="Arial" w:cs="Arial"/>
          <w:sz w:val="18"/>
          <w:szCs w:val="18"/>
        </w:rPr>
      </w:pPr>
      <w:r w:rsidRPr="00752AAA">
        <w:rPr>
          <w:rFonts w:ascii="Arial" w:hAnsi="Arial" w:cs="Arial"/>
          <w:sz w:val="18"/>
          <w:szCs w:val="18"/>
        </w:rPr>
        <w:lastRenderedPageBreak/>
        <w:t>The Lupaneta</w:t>
      </w:r>
      <w:r w:rsidR="00AD7AE6">
        <w:rPr>
          <w:rFonts w:ascii="Arial" w:hAnsi="Arial" w:cs="Arial"/>
          <w:sz w:val="18"/>
          <w:szCs w:val="18"/>
        </w:rPr>
        <w:t>®</w:t>
      </w:r>
      <w:r w:rsidRPr="00752AAA">
        <w:rPr>
          <w:rFonts w:ascii="Arial" w:hAnsi="Arial" w:cs="Arial"/>
          <w:sz w:val="18"/>
          <w:szCs w:val="18"/>
        </w:rPr>
        <w:t xml:space="preserve"> Pack Kits have been added to the </w:t>
      </w:r>
      <w:r w:rsidR="007104C3" w:rsidRPr="00752AAA">
        <w:rPr>
          <w:rFonts w:ascii="Arial" w:hAnsi="Arial" w:cs="Arial"/>
          <w:sz w:val="18"/>
          <w:szCs w:val="18"/>
        </w:rPr>
        <w:t xml:space="preserve">existing point-of-sale prior approval </w:t>
      </w:r>
      <w:r w:rsidR="00F355DA" w:rsidRPr="00752AAA">
        <w:rPr>
          <w:rFonts w:ascii="Arial" w:hAnsi="Arial" w:cs="Arial"/>
          <w:sz w:val="18"/>
          <w:szCs w:val="18"/>
        </w:rPr>
        <w:t xml:space="preserve">criteria </w:t>
      </w:r>
      <w:r w:rsidR="007104C3" w:rsidRPr="00752AAA">
        <w:rPr>
          <w:rFonts w:ascii="Arial" w:hAnsi="Arial" w:cs="Arial"/>
          <w:sz w:val="18"/>
          <w:szCs w:val="18"/>
        </w:rPr>
        <w:t xml:space="preserve">for </w:t>
      </w:r>
      <w:r w:rsidR="00AD7AE6">
        <w:rPr>
          <w:rFonts w:ascii="Arial" w:hAnsi="Arial" w:cs="Arial"/>
          <w:sz w:val="18"/>
          <w:szCs w:val="18"/>
        </w:rPr>
        <w:t>l</w:t>
      </w:r>
      <w:r w:rsidR="00F355DA" w:rsidRPr="00752AAA">
        <w:rPr>
          <w:rFonts w:ascii="Arial" w:hAnsi="Arial" w:cs="Arial"/>
          <w:sz w:val="18"/>
          <w:szCs w:val="18"/>
        </w:rPr>
        <w:t>euprolide injection (e.g., Lupron</w:t>
      </w:r>
      <w:r w:rsidR="00B95EF8" w:rsidRPr="00752AAA">
        <w:rPr>
          <w:rFonts w:ascii="Arial" w:hAnsi="Arial" w:cs="Arial"/>
          <w:sz w:val="18"/>
          <w:szCs w:val="18"/>
        </w:rPr>
        <w:t>®</w:t>
      </w:r>
      <w:r w:rsidR="00F355DA" w:rsidRPr="00752AAA">
        <w:rPr>
          <w:rFonts w:ascii="Arial" w:hAnsi="Arial" w:cs="Arial"/>
          <w:sz w:val="18"/>
          <w:szCs w:val="18"/>
        </w:rPr>
        <w:t xml:space="preserve"> Inj.) </w:t>
      </w:r>
      <w:r w:rsidR="007104C3" w:rsidRPr="00752AAA">
        <w:rPr>
          <w:rFonts w:ascii="Arial" w:hAnsi="Arial" w:cs="Arial"/>
          <w:sz w:val="18"/>
          <w:szCs w:val="18"/>
        </w:rPr>
        <w:t>3.75 mg-1 month and 11.25 mg-3 month</w:t>
      </w:r>
      <w:r w:rsidR="00751260" w:rsidRPr="00752AAA">
        <w:rPr>
          <w:rFonts w:ascii="Arial" w:hAnsi="Arial" w:cs="Arial"/>
          <w:sz w:val="18"/>
          <w:szCs w:val="18"/>
        </w:rPr>
        <w:t>; however, b</w:t>
      </w:r>
      <w:r w:rsidRPr="00752AAA">
        <w:rPr>
          <w:rFonts w:ascii="Arial" w:hAnsi="Arial" w:cs="Arial"/>
          <w:sz w:val="18"/>
          <w:szCs w:val="18"/>
        </w:rPr>
        <w:t xml:space="preserve">ased on the information in the Lupaneta® kit package </w:t>
      </w:r>
      <w:r w:rsidR="00751260" w:rsidRPr="00752AAA">
        <w:rPr>
          <w:rFonts w:ascii="Arial" w:hAnsi="Arial" w:cs="Arial"/>
          <w:sz w:val="18"/>
          <w:szCs w:val="18"/>
        </w:rPr>
        <w:t>insert, regarding length of total therapy,</w:t>
      </w:r>
      <w:r w:rsidRPr="00752AAA">
        <w:rPr>
          <w:rFonts w:ascii="Arial" w:hAnsi="Arial" w:cs="Arial"/>
          <w:sz w:val="18"/>
          <w:szCs w:val="18"/>
        </w:rPr>
        <w:t xml:space="preserve"> the existing criteria were</w:t>
      </w:r>
      <w:r w:rsidR="007104C3" w:rsidRPr="00752AAA">
        <w:rPr>
          <w:rFonts w:ascii="Arial" w:hAnsi="Arial" w:cs="Arial"/>
          <w:sz w:val="18"/>
          <w:szCs w:val="18"/>
        </w:rPr>
        <w:t xml:space="preserve"> revised</w:t>
      </w:r>
      <w:r w:rsidR="00F355DA" w:rsidRPr="00752AAA">
        <w:rPr>
          <w:rFonts w:ascii="Arial" w:hAnsi="Arial" w:cs="Arial"/>
          <w:sz w:val="18"/>
          <w:szCs w:val="18"/>
        </w:rPr>
        <w:t xml:space="preserve"> </w:t>
      </w:r>
      <w:r w:rsidR="007104C3" w:rsidRPr="00752AAA">
        <w:rPr>
          <w:rFonts w:ascii="Arial" w:hAnsi="Arial" w:cs="Arial"/>
          <w:sz w:val="18"/>
          <w:szCs w:val="18"/>
        </w:rPr>
        <w:t>to the following:</w:t>
      </w:r>
    </w:p>
    <w:p w:rsidR="007104C3" w:rsidRDefault="007104C3" w:rsidP="007104C3">
      <w:pPr>
        <w:pStyle w:val="ListParagraph"/>
        <w:ind w:left="1440"/>
        <w:rPr>
          <w:rFonts w:ascii="Arial" w:hAnsi="Arial" w:cs="Arial"/>
          <w:sz w:val="18"/>
          <w:szCs w:val="18"/>
        </w:rPr>
      </w:pPr>
    </w:p>
    <w:p w:rsidR="004D55CF" w:rsidRPr="004D55CF" w:rsidRDefault="004D55CF" w:rsidP="004D55CF">
      <w:pPr>
        <w:pStyle w:val="ListParagraph"/>
        <w:numPr>
          <w:ilvl w:val="0"/>
          <w:numId w:val="12"/>
        </w:numPr>
        <w:rPr>
          <w:rFonts w:ascii="Arial" w:hAnsi="Arial" w:cs="Arial"/>
          <w:sz w:val="18"/>
          <w:szCs w:val="18"/>
        </w:rPr>
      </w:pPr>
      <w:r w:rsidRPr="004D55CF">
        <w:rPr>
          <w:rFonts w:ascii="Arial" w:hAnsi="Arial" w:cs="Arial"/>
          <w:sz w:val="18"/>
          <w:szCs w:val="18"/>
        </w:rPr>
        <w:t>Billed diagnosis of endometriosis or uterine leiomyoma (fibroids) AND</w:t>
      </w:r>
    </w:p>
    <w:p w:rsidR="004D55CF" w:rsidRPr="004D55CF" w:rsidRDefault="004D55CF" w:rsidP="004D55CF">
      <w:pPr>
        <w:pStyle w:val="ListParagraph"/>
        <w:numPr>
          <w:ilvl w:val="0"/>
          <w:numId w:val="12"/>
        </w:numPr>
        <w:rPr>
          <w:rFonts w:ascii="Arial" w:hAnsi="Arial" w:cs="Arial"/>
          <w:sz w:val="18"/>
          <w:szCs w:val="18"/>
        </w:rPr>
      </w:pPr>
      <w:r w:rsidRPr="004D55CF">
        <w:rPr>
          <w:rFonts w:ascii="Arial" w:hAnsi="Arial" w:cs="Arial"/>
          <w:sz w:val="18"/>
          <w:szCs w:val="18"/>
        </w:rPr>
        <w:t xml:space="preserve">&lt;12 billed claims of 3.75mg </w:t>
      </w:r>
      <w:r w:rsidR="001D6DC5" w:rsidRPr="004D55CF">
        <w:rPr>
          <w:rFonts w:ascii="Arial" w:hAnsi="Arial" w:cs="Arial"/>
          <w:sz w:val="18"/>
          <w:szCs w:val="18"/>
        </w:rPr>
        <w:t>leupr</w:t>
      </w:r>
      <w:r w:rsidR="001D6DC5" w:rsidRPr="003B2AEF">
        <w:rPr>
          <w:rFonts w:ascii="Arial" w:hAnsi="Arial" w:cs="Arial"/>
          <w:sz w:val="18"/>
          <w:szCs w:val="18"/>
        </w:rPr>
        <w:t>olid</w:t>
      </w:r>
      <w:r w:rsidR="001D6DC5" w:rsidRPr="004D55CF">
        <w:rPr>
          <w:rFonts w:ascii="Arial" w:hAnsi="Arial" w:cs="Arial"/>
          <w:sz w:val="18"/>
          <w:szCs w:val="18"/>
        </w:rPr>
        <w:t xml:space="preserve">e injection </w:t>
      </w:r>
      <w:r w:rsidR="001D6DC5">
        <w:rPr>
          <w:rFonts w:ascii="Arial" w:hAnsi="Arial" w:cs="Arial"/>
          <w:sz w:val="18"/>
          <w:szCs w:val="18"/>
        </w:rPr>
        <w:t xml:space="preserve">(which would include </w:t>
      </w:r>
      <w:r w:rsidRPr="004D55CF">
        <w:rPr>
          <w:rFonts w:ascii="Arial" w:hAnsi="Arial" w:cs="Arial"/>
          <w:sz w:val="18"/>
          <w:szCs w:val="18"/>
        </w:rPr>
        <w:t>Lupaneta®</w:t>
      </w:r>
      <w:r w:rsidR="001D6DC5">
        <w:rPr>
          <w:rFonts w:ascii="Arial" w:hAnsi="Arial" w:cs="Arial"/>
          <w:sz w:val="18"/>
          <w:szCs w:val="18"/>
        </w:rPr>
        <w:t>)</w:t>
      </w:r>
      <w:r w:rsidRPr="004D55CF">
        <w:rPr>
          <w:rFonts w:ascii="Arial" w:hAnsi="Arial" w:cs="Arial"/>
          <w:sz w:val="18"/>
          <w:szCs w:val="18"/>
        </w:rPr>
        <w:t xml:space="preserve">  in the previous 3 year Medicaid history</w:t>
      </w:r>
      <w:r w:rsidR="00E93E4C">
        <w:rPr>
          <w:rFonts w:ascii="Arial" w:hAnsi="Arial" w:cs="Arial"/>
          <w:sz w:val="18"/>
          <w:szCs w:val="18"/>
        </w:rPr>
        <w:t xml:space="preserve"> </w:t>
      </w:r>
      <w:r w:rsidR="00F57C37">
        <w:rPr>
          <w:rFonts w:ascii="Arial" w:hAnsi="Arial" w:cs="Arial"/>
          <w:sz w:val="18"/>
          <w:szCs w:val="18"/>
        </w:rPr>
        <w:t>OR</w:t>
      </w:r>
    </w:p>
    <w:p w:rsidR="004D55CF" w:rsidRPr="004D55CF" w:rsidRDefault="004D55CF" w:rsidP="004D55CF">
      <w:pPr>
        <w:pStyle w:val="ListParagraph"/>
        <w:numPr>
          <w:ilvl w:val="0"/>
          <w:numId w:val="12"/>
        </w:numPr>
        <w:rPr>
          <w:rFonts w:ascii="Arial" w:hAnsi="Arial" w:cs="Arial"/>
          <w:sz w:val="18"/>
          <w:szCs w:val="18"/>
        </w:rPr>
      </w:pPr>
      <w:r w:rsidRPr="004D55CF">
        <w:rPr>
          <w:rFonts w:ascii="Arial" w:hAnsi="Arial" w:cs="Arial"/>
          <w:sz w:val="18"/>
          <w:szCs w:val="18"/>
        </w:rPr>
        <w:t xml:space="preserve">&lt; 4 billed claims of 11.25mg </w:t>
      </w:r>
      <w:r w:rsidR="001D6DC5" w:rsidRPr="004D55CF">
        <w:rPr>
          <w:rFonts w:ascii="Arial" w:hAnsi="Arial" w:cs="Arial"/>
          <w:sz w:val="18"/>
          <w:szCs w:val="18"/>
        </w:rPr>
        <w:t xml:space="preserve">leuprolide injection </w:t>
      </w:r>
      <w:r w:rsidR="001D6DC5">
        <w:rPr>
          <w:rFonts w:ascii="Arial" w:hAnsi="Arial" w:cs="Arial"/>
          <w:sz w:val="18"/>
          <w:szCs w:val="18"/>
        </w:rPr>
        <w:t xml:space="preserve">(which would include </w:t>
      </w:r>
      <w:r w:rsidR="001D6DC5" w:rsidRPr="004D55CF">
        <w:rPr>
          <w:rFonts w:ascii="Arial" w:hAnsi="Arial" w:cs="Arial"/>
          <w:sz w:val="18"/>
          <w:szCs w:val="18"/>
        </w:rPr>
        <w:t>Lupaneta®</w:t>
      </w:r>
      <w:r w:rsidR="001D6DC5">
        <w:rPr>
          <w:rFonts w:ascii="Arial" w:hAnsi="Arial" w:cs="Arial"/>
          <w:sz w:val="18"/>
          <w:szCs w:val="18"/>
        </w:rPr>
        <w:t>)</w:t>
      </w:r>
      <w:r w:rsidR="001D6DC5" w:rsidRPr="004D55CF">
        <w:rPr>
          <w:rFonts w:ascii="Arial" w:hAnsi="Arial" w:cs="Arial"/>
          <w:sz w:val="18"/>
          <w:szCs w:val="18"/>
        </w:rPr>
        <w:t xml:space="preserve">  </w:t>
      </w:r>
      <w:r w:rsidRPr="004D55CF">
        <w:rPr>
          <w:rFonts w:ascii="Arial" w:hAnsi="Arial" w:cs="Arial"/>
          <w:sz w:val="18"/>
          <w:szCs w:val="18"/>
        </w:rPr>
        <w:t>in the p</w:t>
      </w:r>
      <w:r w:rsidR="00F57C37">
        <w:rPr>
          <w:rFonts w:ascii="Arial" w:hAnsi="Arial" w:cs="Arial"/>
          <w:sz w:val="18"/>
          <w:szCs w:val="18"/>
        </w:rPr>
        <w:t>revious 3 year Medicaid history</w:t>
      </w:r>
    </w:p>
    <w:p w:rsidR="00035F56" w:rsidRDefault="00035F56" w:rsidP="00035F56">
      <w:pPr>
        <w:ind w:left="1800"/>
        <w:rPr>
          <w:rFonts w:ascii="Arial" w:hAnsi="Arial" w:cs="Arial"/>
          <w:sz w:val="18"/>
          <w:szCs w:val="18"/>
        </w:rPr>
      </w:pPr>
    </w:p>
    <w:p w:rsidR="003B2AEF" w:rsidRDefault="003B2AEF" w:rsidP="00035F56">
      <w:pPr>
        <w:ind w:left="1800"/>
        <w:rPr>
          <w:rFonts w:ascii="Arial" w:hAnsi="Arial" w:cs="Arial"/>
          <w:sz w:val="18"/>
          <w:szCs w:val="18"/>
        </w:rPr>
      </w:pPr>
      <w:r>
        <w:rPr>
          <w:rFonts w:ascii="Arial" w:hAnsi="Arial" w:cs="Arial"/>
          <w:sz w:val="18"/>
          <w:szCs w:val="18"/>
        </w:rPr>
        <w:t>The existing denial POS criterion for leuprolide</w:t>
      </w:r>
      <w:r w:rsidR="00F57C37">
        <w:rPr>
          <w:rFonts w:ascii="Arial" w:hAnsi="Arial" w:cs="Arial"/>
          <w:sz w:val="18"/>
          <w:szCs w:val="18"/>
        </w:rPr>
        <w:t xml:space="preserve"> injection will remain:</w:t>
      </w:r>
    </w:p>
    <w:p w:rsidR="003B2AEF" w:rsidRDefault="003B2AEF" w:rsidP="00CC3E19">
      <w:pPr>
        <w:pStyle w:val="ListParagraph"/>
        <w:numPr>
          <w:ilvl w:val="0"/>
          <w:numId w:val="14"/>
        </w:numPr>
        <w:rPr>
          <w:rFonts w:ascii="Arial" w:hAnsi="Arial" w:cs="Arial"/>
          <w:sz w:val="18"/>
          <w:szCs w:val="18"/>
        </w:rPr>
      </w:pPr>
      <w:r w:rsidRPr="003B2AEF">
        <w:rPr>
          <w:rFonts w:ascii="Arial" w:hAnsi="Arial" w:cs="Arial"/>
          <w:sz w:val="18"/>
          <w:szCs w:val="18"/>
        </w:rPr>
        <w:t>Diagnosis of infertility in Medicaid history (3 yea</w:t>
      </w:r>
      <w:r>
        <w:rPr>
          <w:rFonts w:ascii="Arial" w:hAnsi="Arial" w:cs="Arial"/>
          <w:sz w:val="18"/>
          <w:szCs w:val="18"/>
        </w:rPr>
        <w:t>r look back).</w:t>
      </w:r>
    </w:p>
    <w:p w:rsidR="003B2AEF" w:rsidRPr="003B2AEF" w:rsidRDefault="003B2AEF" w:rsidP="003B2AEF">
      <w:pPr>
        <w:pStyle w:val="ListParagraph"/>
        <w:ind w:left="1800"/>
        <w:rPr>
          <w:rFonts w:ascii="Arial" w:hAnsi="Arial" w:cs="Arial"/>
          <w:sz w:val="18"/>
          <w:szCs w:val="18"/>
        </w:rPr>
      </w:pPr>
    </w:p>
    <w:p w:rsidR="00035F56" w:rsidRPr="00035F56" w:rsidRDefault="00035F56" w:rsidP="00035F56">
      <w:pPr>
        <w:ind w:left="1800"/>
        <w:rPr>
          <w:rFonts w:ascii="Arial" w:hAnsi="Arial" w:cs="Arial"/>
          <w:sz w:val="18"/>
          <w:szCs w:val="18"/>
        </w:rPr>
      </w:pPr>
      <w:r w:rsidRPr="00035F56">
        <w:rPr>
          <w:rFonts w:ascii="Arial" w:hAnsi="Arial" w:cs="Arial"/>
          <w:sz w:val="18"/>
          <w:szCs w:val="18"/>
        </w:rPr>
        <w:t>AND</w:t>
      </w:r>
      <w:r>
        <w:rPr>
          <w:rFonts w:ascii="Arial" w:hAnsi="Arial" w:cs="Arial"/>
          <w:sz w:val="18"/>
          <w:szCs w:val="18"/>
        </w:rPr>
        <w:t xml:space="preserve"> the following </w:t>
      </w:r>
      <w:r w:rsidRPr="00035F56">
        <w:rPr>
          <w:rFonts w:ascii="Arial" w:hAnsi="Arial" w:cs="Arial"/>
          <w:sz w:val="18"/>
          <w:szCs w:val="18"/>
        </w:rPr>
        <w:t xml:space="preserve">POS denial </w:t>
      </w:r>
      <w:r w:rsidR="00F355DA" w:rsidRPr="00035F56">
        <w:rPr>
          <w:rFonts w:ascii="Arial" w:hAnsi="Arial" w:cs="Arial"/>
          <w:sz w:val="18"/>
          <w:szCs w:val="18"/>
        </w:rPr>
        <w:t>c</w:t>
      </w:r>
      <w:r w:rsidR="00F355DA">
        <w:rPr>
          <w:rFonts w:ascii="Arial" w:hAnsi="Arial" w:cs="Arial"/>
          <w:sz w:val="18"/>
          <w:szCs w:val="18"/>
        </w:rPr>
        <w:t>riteria for the Lupaneta pack kits were added</w:t>
      </w:r>
      <w:r>
        <w:rPr>
          <w:rFonts w:ascii="Arial" w:hAnsi="Arial" w:cs="Arial"/>
          <w:sz w:val="18"/>
          <w:szCs w:val="18"/>
        </w:rPr>
        <w:t>:</w:t>
      </w:r>
    </w:p>
    <w:p w:rsidR="00035F56" w:rsidRPr="00035F56" w:rsidRDefault="00035F56" w:rsidP="00787D43">
      <w:pPr>
        <w:pStyle w:val="ListParagraph"/>
        <w:numPr>
          <w:ilvl w:val="0"/>
          <w:numId w:val="14"/>
        </w:numPr>
        <w:rPr>
          <w:rFonts w:ascii="Arial" w:hAnsi="Arial" w:cs="Arial"/>
          <w:sz w:val="18"/>
          <w:szCs w:val="18"/>
        </w:rPr>
      </w:pPr>
      <w:r w:rsidRPr="00035F56">
        <w:rPr>
          <w:rFonts w:ascii="Arial" w:hAnsi="Arial" w:cs="Arial"/>
          <w:sz w:val="18"/>
          <w:szCs w:val="18"/>
        </w:rPr>
        <w:t>Diagnosis of infertility in Medicaid history (3 y</w:t>
      </w:r>
      <w:r w:rsidR="008D5E3B">
        <w:rPr>
          <w:rFonts w:ascii="Arial" w:hAnsi="Arial" w:cs="Arial"/>
          <w:sz w:val="18"/>
          <w:szCs w:val="18"/>
        </w:rPr>
        <w:t>ea</w:t>
      </w:r>
      <w:r w:rsidRPr="00035F56">
        <w:rPr>
          <w:rFonts w:ascii="Arial" w:hAnsi="Arial" w:cs="Arial"/>
          <w:sz w:val="18"/>
          <w:szCs w:val="18"/>
        </w:rPr>
        <w:t>r look back), OR</w:t>
      </w:r>
    </w:p>
    <w:p w:rsidR="00035F56" w:rsidRPr="00035F56" w:rsidRDefault="00035F56" w:rsidP="00787D43">
      <w:pPr>
        <w:pStyle w:val="ListParagraph"/>
        <w:numPr>
          <w:ilvl w:val="0"/>
          <w:numId w:val="14"/>
        </w:numPr>
        <w:rPr>
          <w:rFonts w:ascii="Arial" w:hAnsi="Arial" w:cs="Arial"/>
          <w:sz w:val="18"/>
          <w:szCs w:val="18"/>
        </w:rPr>
      </w:pPr>
      <w:r w:rsidRPr="00035F56">
        <w:rPr>
          <w:rFonts w:ascii="Arial" w:hAnsi="Arial" w:cs="Arial"/>
          <w:sz w:val="18"/>
          <w:szCs w:val="18"/>
        </w:rPr>
        <w:t>Thrombophlebitis, OR</w:t>
      </w:r>
    </w:p>
    <w:p w:rsidR="00035F56" w:rsidRPr="00035F56" w:rsidRDefault="00035F56" w:rsidP="00787D43">
      <w:pPr>
        <w:pStyle w:val="ListParagraph"/>
        <w:numPr>
          <w:ilvl w:val="0"/>
          <w:numId w:val="13"/>
        </w:numPr>
        <w:rPr>
          <w:rFonts w:ascii="Arial" w:hAnsi="Arial" w:cs="Arial"/>
          <w:sz w:val="18"/>
          <w:szCs w:val="18"/>
        </w:rPr>
      </w:pPr>
      <w:r>
        <w:rPr>
          <w:rFonts w:ascii="Arial" w:hAnsi="Arial" w:cs="Arial"/>
          <w:sz w:val="18"/>
          <w:szCs w:val="18"/>
        </w:rPr>
        <w:t>T</w:t>
      </w:r>
      <w:r w:rsidR="00F57C37">
        <w:rPr>
          <w:rFonts w:ascii="Arial" w:hAnsi="Arial" w:cs="Arial"/>
          <w:sz w:val="18"/>
          <w:szCs w:val="18"/>
        </w:rPr>
        <w:t>hromboembolic disorders, OR</w:t>
      </w:r>
    </w:p>
    <w:p w:rsidR="00035F56" w:rsidRPr="00035F56" w:rsidRDefault="00035F56" w:rsidP="00787D43">
      <w:pPr>
        <w:pStyle w:val="ListParagraph"/>
        <w:numPr>
          <w:ilvl w:val="0"/>
          <w:numId w:val="13"/>
        </w:numPr>
        <w:rPr>
          <w:rFonts w:ascii="Arial" w:hAnsi="Arial" w:cs="Arial"/>
          <w:sz w:val="18"/>
          <w:szCs w:val="18"/>
        </w:rPr>
      </w:pPr>
      <w:r>
        <w:rPr>
          <w:rFonts w:ascii="Arial" w:hAnsi="Arial" w:cs="Arial"/>
          <w:sz w:val="18"/>
          <w:szCs w:val="18"/>
        </w:rPr>
        <w:t>C</w:t>
      </w:r>
      <w:r w:rsidRPr="00035F56">
        <w:rPr>
          <w:rFonts w:ascii="Arial" w:hAnsi="Arial" w:cs="Arial"/>
          <w:sz w:val="18"/>
          <w:szCs w:val="18"/>
        </w:rPr>
        <w:t>erebral a</w:t>
      </w:r>
      <w:r w:rsidR="00F57C37">
        <w:rPr>
          <w:rFonts w:ascii="Arial" w:hAnsi="Arial" w:cs="Arial"/>
          <w:sz w:val="18"/>
          <w:szCs w:val="18"/>
        </w:rPr>
        <w:t>poplexy in Medicaid history; OR</w:t>
      </w:r>
    </w:p>
    <w:p w:rsidR="00035F56" w:rsidRPr="00035F56" w:rsidRDefault="00035F56" w:rsidP="00787D43">
      <w:pPr>
        <w:pStyle w:val="ListParagraph"/>
        <w:numPr>
          <w:ilvl w:val="0"/>
          <w:numId w:val="13"/>
        </w:numPr>
        <w:rPr>
          <w:rFonts w:ascii="Arial" w:hAnsi="Arial" w:cs="Arial"/>
          <w:sz w:val="18"/>
          <w:szCs w:val="18"/>
        </w:rPr>
      </w:pPr>
      <w:r>
        <w:rPr>
          <w:rFonts w:ascii="Arial" w:hAnsi="Arial" w:cs="Arial"/>
          <w:sz w:val="18"/>
          <w:szCs w:val="18"/>
        </w:rPr>
        <w:t>C</w:t>
      </w:r>
      <w:r w:rsidRPr="00035F56">
        <w:rPr>
          <w:rFonts w:ascii="Arial" w:hAnsi="Arial" w:cs="Arial"/>
          <w:sz w:val="18"/>
          <w:szCs w:val="18"/>
        </w:rPr>
        <w:t>arcinoma of the breast in Medicaid history</w:t>
      </w:r>
    </w:p>
    <w:p w:rsidR="00CC3E19" w:rsidRDefault="00CC3E19" w:rsidP="00CC3E19">
      <w:pPr>
        <w:tabs>
          <w:tab w:val="left" w:pos="1110"/>
        </w:tabs>
        <w:ind w:left="1080"/>
        <w:rPr>
          <w:rFonts w:ascii="Arial" w:hAnsi="Arial" w:cs="Arial"/>
          <w:sz w:val="18"/>
          <w:szCs w:val="18"/>
        </w:rPr>
      </w:pPr>
    </w:p>
    <w:p w:rsidR="00CC3E19" w:rsidRDefault="00CC3E19" w:rsidP="00CC3E19">
      <w:pPr>
        <w:tabs>
          <w:tab w:val="left" w:pos="1110"/>
        </w:tabs>
        <w:ind w:left="1080"/>
        <w:rPr>
          <w:rFonts w:ascii="Arial" w:hAnsi="Arial" w:cs="Arial"/>
          <w:sz w:val="18"/>
          <w:szCs w:val="18"/>
        </w:rPr>
      </w:pPr>
      <w:r>
        <w:rPr>
          <w:rFonts w:ascii="Arial" w:hAnsi="Arial" w:cs="Arial"/>
          <w:sz w:val="18"/>
          <w:szCs w:val="18"/>
        </w:rPr>
        <w:t>In addition, quantity edits have been added to the Lupaneta® 3.75 mg Pack kit to limit to one (1) per month; the Lupaneta® 11.25 mg Pack Kit is limited t</w:t>
      </w:r>
      <w:r w:rsidR="00F57C37">
        <w:rPr>
          <w:rFonts w:ascii="Arial" w:hAnsi="Arial" w:cs="Arial"/>
          <w:sz w:val="18"/>
          <w:szCs w:val="18"/>
        </w:rPr>
        <w:t>o one (1) per three (3) months.</w:t>
      </w:r>
    </w:p>
    <w:p w:rsidR="00CC3E19" w:rsidRDefault="00CC3E19" w:rsidP="00CC3E19">
      <w:pPr>
        <w:tabs>
          <w:tab w:val="left" w:pos="1110"/>
        </w:tabs>
        <w:ind w:left="1080"/>
        <w:rPr>
          <w:rFonts w:ascii="Arial" w:hAnsi="Arial" w:cs="Arial"/>
          <w:sz w:val="18"/>
          <w:szCs w:val="18"/>
        </w:rPr>
      </w:pPr>
    </w:p>
    <w:p w:rsidR="00035F56" w:rsidRPr="00B13D0B" w:rsidRDefault="00035F56" w:rsidP="00035F56">
      <w:pPr>
        <w:pStyle w:val="ListParagraph"/>
        <w:tabs>
          <w:tab w:val="left" w:pos="1095"/>
        </w:tabs>
        <w:ind w:left="1080"/>
        <w:rPr>
          <w:rFonts w:ascii="Arial" w:hAnsi="Arial" w:cs="Arial"/>
          <w:sz w:val="18"/>
          <w:szCs w:val="18"/>
        </w:rPr>
      </w:pPr>
      <w:r w:rsidRPr="00464DAF">
        <w:rPr>
          <w:rFonts w:ascii="Arial" w:hAnsi="Arial" w:cs="Arial"/>
          <w:b/>
          <w:sz w:val="18"/>
          <w:szCs w:val="18"/>
        </w:rPr>
        <w:t>HP Prescription Drug Help Desk at 1-800-707-3854 or at 1-501-374-6609, extension 500</w:t>
      </w:r>
      <w:r w:rsidRPr="00B13D0B">
        <w:rPr>
          <w:rFonts w:ascii="Arial" w:hAnsi="Arial" w:cs="Arial"/>
          <w:b/>
          <w:sz w:val="18"/>
          <w:szCs w:val="18"/>
        </w:rPr>
        <w:t xml:space="preserve"> </w:t>
      </w:r>
      <w:r w:rsidR="00F57C37">
        <w:rPr>
          <w:rFonts w:ascii="Arial" w:hAnsi="Arial" w:cs="Arial"/>
          <w:sz w:val="18"/>
          <w:szCs w:val="18"/>
        </w:rPr>
        <w:t>for information.</w:t>
      </w:r>
    </w:p>
    <w:p w:rsidR="00035F56" w:rsidRPr="00035F56" w:rsidRDefault="00035F56" w:rsidP="00035F56">
      <w:pPr>
        <w:rPr>
          <w:rFonts w:ascii="Arial" w:hAnsi="Arial" w:cs="Arial"/>
          <w:sz w:val="18"/>
          <w:szCs w:val="18"/>
        </w:rPr>
      </w:pPr>
    </w:p>
    <w:p w:rsidR="00AB114B" w:rsidRPr="00464DAF" w:rsidRDefault="00AB114B" w:rsidP="00AB114B">
      <w:pPr>
        <w:pStyle w:val="ListParagraph"/>
        <w:numPr>
          <w:ilvl w:val="0"/>
          <w:numId w:val="4"/>
        </w:numPr>
        <w:rPr>
          <w:rFonts w:ascii="Arial" w:hAnsi="Arial" w:cs="Arial"/>
          <w:b/>
          <w:sz w:val="18"/>
          <w:szCs w:val="18"/>
        </w:rPr>
      </w:pPr>
      <w:r w:rsidRPr="00464DAF">
        <w:rPr>
          <w:rFonts w:ascii="Arial" w:hAnsi="Arial" w:cs="Arial"/>
          <w:b/>
          <w:sz w:val="18"/>
          <w:szCs w:val="18"/>
        </w:rPr>
        <w:t>AUTOMATED ELIGIBILITY VERIFICATION AND CLAIMS SUBMISSION (AEVCS) EDITS OR CLAIM EDITS (DOSE-OP EDITS, CUMULATIVE QUANTITY, DAILY DOSE EDITS, AGE EDITS, OR GENDER EDITS):</w:t>
      </w:r>
    </w:p>
    <w:p w:rsidR="00B13D0B" w:rsidRDefault="00B13D0B" w:rsidP="00035F56">
      <w:pPr>
        <w:pStyle w:val="ListParagraph"/>
        <w:ind w:left="1440"/>
        <w:rPr>
          <w:rFonts w:ascii="Arial" w:hAnsi="Arial" w:cs="Arial"/>
          <w:sz w:val="18"/>
          <w:szCs w:val="18"/>
        </w:rPr>
      </w:pPr>
    </w:p>
    <w:p w:rsidR="00AB114B" w:rsidRDefault="00AB114B" w:rsidP="00035F56">
      <w:pPr>
        <w:pStyle w:val="ListParagraph"/>
        <w:ind w:left="1440"/>
        <w:rPr>
          <w:rFonts w:ascii="Arial" w:hAnsi="Arial" w:cs="Arial"/>
          <w:sz w:val="18"/>
          <w:szCs w:val="18"/>
        </w:rPr>
      </w:pPr>
      <w:r>
        <w:rPr>
          <w:rFonts w:ascii="Arial" w:hAnsi="Arial" w:cs="Arial"/>
          <w:sz w:val="18"/>
          <w:szCs w:val="18"/>
        </w:rPr>
        <w:t>The following edits were inadvertently left out of the DUR Provider Memo dated Feb. 12, 2014</w:t>
      </w:r>
      <w:r w:rsidR="00F57C37">
        <w:rPr>
          <w:rFonts w:ascii="Arial" w:hAnsi="Arial" w:cs="Arial"/>
          <w:sz w:val="18"/>
          <w:szCs w:val="18"/>
        </w:rPr>
        <w:t xml:space="preserve">. </w:t>
      </w:r>
      <w:r w:rsidR="00015489">
        <w:rPr>
          <w:rFonts w:ascii="Arial" w:hAnsi="Arial" w:cs="Arial"/>
          <w:sz w:val="18"/>
          <w:szCs w:val="18"/>
        </w:rPr>
        <w:t>These edits</w:t>
      </w:r>
      <w:r w:rsidR="00FB622F">
        <w:rPr>
          <w:rFonts w:ascii="Arial" w:hAnsi="Arial" w:cs="Arial"/>
          <w:sz w:val="18"/>
          <w:szCs w:val="18"/>
        </w:rPr>
        <w:t xml:space="preserve"> were implemented on March 18, 2014</w:t>
      </w:r>
      <w:r>
        <w:rPr>
          <w:rFonts w:ascii="Arial" w:hAnsi="Arial" w:cs="Arial"/>
          <w:sz w:val="18"/>
          <w:szCs w:val="18"/>
        </w:rPr>
        <w:t>:</w:t>
      </w:r>
    </w:p>
    <w:p w:rsidR="00FB622F" w:rsidRDefault="00FB622F" w:rsidP="00035F56">
      <w:pPr>
        <w:pStyle w:val="ListParagraph"/>
        <w:ind w:left="1440"/>
        <w:rPr>
          <w:rFonts w:ascii="Arial" w:hAnsi="Arial" w:cs="Arial"/>
          <w:sz w:val="18"/>
          <w:szCs w:val="18"/>
        </w:rPr>
      </w:pPr>
    </w:p>
    <w:p w:rsidR="00FB622F" w:rsidRDefault="00FB622F" w:rsidP="00787D43">
      <w:pPr>
        <w:pStyle w:val="ListParagraph"/>
        <w:numPr>
          <w:ilvl w:val="3"/>
          <w:numId w:val="17"/>
        </w:numPr>
        <w:rPr>
          <w:rFonts w:ascii="Arial" w:hAnsi="Arial" w:cs="Arial"/>
          <w:b/>
          <w:sz w:val="18"/>
          <w:szCs w:val="18"/>
          <w:u w:val="single"/>
        </w:rPr>
      </w:pPr>
      <w:r w:rsidRPr="00FB622F">
        <w:rPr>
          <w:rFonts w:ascii="Arial" w:hAnsi="Arial" w:cs="Arial"/>
          <w:b/>
          <w:sz w:val="18"/>
          <w:szCs w:val="18"/>
          <w:u w:val="single"/>
        </w:rPr>
        <w:t>Afinitor® (everolimus) disperz tablet 2 mg, 3 mg, 5 mg</w:t>
      </w:r>
    </w:p>
    <w:p w:rsidR="00FB622F" w:rsidRDefault="00FB622F" w:rsidP="00FB622F">
      <w:pPr>
        <w:pStyle w:val="ListParagraph"/>
        <w:ind w:left="1440"/>
        <w:rPr>
          <w:rFonts w:ascii="Arial" w:hAnsi="Arial" w:cs="Arial"/>
          <w:b/>
          <w:sz w:val="18"/>
          <w:szCs w:val="18"/>
          <w:u w:val="single"/>
        </w:rPr>
      </w:pPr>
    </w:p>
    <w:p w:rsidR="00FB622F" w:rsidRPr="00FB622F" w:rsidRDefault="00FB622F" w:rsidP="00FB622F">
      <w:pPr>
        <w:pStyle w:val="ListParagraph"/>
        <w:ind w:left="1440"/>
        <w:rPr>
          <w:rFonts w:ascii="Arial" w:hAnsi="Arial" w:cs="Arial"/>
          <w:sz w:val="18"/>
          <w:szCs w:val="18"/>
        </w:rPr>
      </w:pPr>
      <w:r>
        <w:rPr>
          <w:rFonts w:ascii="Arial" w:hAnsi="Arial" w:cs="Arial"/>
          <w:sz w:val="18"/>
          <w:szCs w:val="18"/>
        </w:rPr>
        <w:t>The reimbursement rates for A</w:t>
      </w:r>
      <w:r w:rsidR="00F57C37">
        <w:rPr>
          <w:rFonts w:ascii="Arial" w:hAnsi="Arial" w:cs="Arial"/>
          <w:sz w:val="18"/>
          <w:szCs w:val="18"/>
        </w:rPr>
        <w:t>finitor tablets are as follows:</w:t>
      </w:r>
    </w:p>
    <w:p w:rsidR="00FB622F" w:rsidRPr="00FB622F" w:rsidRDefault="00FB622F" w:rsidP="00FB622F">
      <w:pPr>
        <w:pStyle w:val="ListParagraph"/>
        <w:ind w:left="1440"/>
        <w:rPr>
          <w:rFonts w:ascii="Arial" w:hAnsi="Arial" w:cs="Arial"/>
          <w:sz w:val="18"/>
          <w:szCs w:val="18"/>
        </w:rPr>
      </w:pPr>
      <w:r w:rsidRPr="00FB622F">
        <w:rPr>
          <w:rFonts w:ascii="Arial" w:hAnsi="Arial" w:cs="Arial"/>
          <w:sz w:val="18"/>
          <w:szCs w:val="18"/>
        </w:rPr>
        <w:t>2 mg disperz tab = $283.84</w:t>
      </w:r>
    </w:p>
    <w:p w:rsidR="00FB622F" w:rsidRPr="00FB622F" w:rsidRDefault="00FB622F" w:rsidP="00FB622F">
      <w:pPr>
        <w:pStyle w:val="ListParagraph"/>
        <w:ind w:left="1440"/>
        <w:rPr>
          <w:rFonts w:ascii="Arial" w:hAnsi="Arial" w:cs="Arial"/>
          <w:sz w:val="18"/>
          <w:szCs w:val="18"/>
        </w:rPr>
      </w:pPr>
      <w:r>
        <w:rPr>
          <w:rFonts w:ascii="Arial" w:hAnsi="Arial" w:cs="Arial"/>
          <w:sz w:val="18"/>
          <w:szCs w:val="18"/>
        </w:rPr>
        <w:t>3 mg disperz tab = $286.69</w:t>
      </w:r>
    </w:p>
    <w:p w:rsidR="00FB622F" w:rsidRPr="00FB622F" w:rsidRDefault="00FB622F" w:rsidP="00FB622F">
      <w:pPr>
        <w:pStyle w:val="ListParagraph"/>
        <w:ind w:left="1440"/>
        <w:rPr>
          <w:rFonts w:ascii="Arial" w:hAnsi="Arial" w:cs="Arial"/>
          <w:sz w:val="18"/>
          <w:szCs w:val="18"/>
        </w:rPr>
      </w:pPr>
      <w:r w:rsidRPr="00FB622F">
        <w:rPr>
          <w:rFonts w:ascii="Arial" w:hAnsi="Arial" w:cs="Arial"/>
          <w:sz w:val="18"/>
          <w:szCs w:val="18"/>
        </w:rPr>
        <w:t>5 mg disperz tab = $298.3</w:t>
      </w:r>
      <w:r>
        <w:rPr>
          <w:rFonts w:ascii="Arial" w:hAnsi="Arial" w:cs="Arial"/>
          <w:sz w:val="18"/>
          <w:szCs w:val="18"/>
        </w:rPr>
        <w:t>9</w:t>
      </w:r>
    </w:p>
    <w:p w:rsidR="00FB622F" w:rsidRDefault="00FB622F" w:rsidP="00035F56">
      <w:pPr>
        <w:pStyle w:val="ListParagraph"/>
        <w:ind w:left="1440"/>
        <w:rPr>
          <w:rFonts w:ascii="Arial" w:hAnsi="Arial" w:cs="Arial"/>
          <w:sz w:val="18"/>
          <w:szCs w:val="18"/>
        </w:rPr>
      </w:pPr>
    </w:p>
    <w:p w:rsidR="00AB114B" w:rsidRDefault="00FB622F" w:rsidP="00035F56">
      <w:pPr>
        <w:pStyle w:val="ListParagraph"/>
        <w:ind w:left="1440"/>
        <w:rPr>
          <w:rFonts w:ascii="Arial" w:hAnsi="Arial" w:cs="Arial"/>
          <w:sz w:val="18"/>
          <w:szCs w:val="18"/>
        </w:rPr>
      </w:pPr>
      <w:r>
        <w:rPr>
          <w:rFonts w:ascii="Arial" w:hAnsi="Arial" w:cs="Arial"/>
          <w:sz w:val="18"/>
          <w:szCs w:val="18"/>
        </w:rPr>
        <w:t>Quantity edit</w:t>
      </w:r>
      <w:r w:rsidR="00B13D0B">
        <w:rPr>
          <w:rFonts w:ascii="Arial" w:hAnsi="Arial" w:cs="Arial"/>
          <w:sz w:val="18"/>
          <w:szCs w:val="18"/>
        </w:rPr>
        <w:t>s</w:t>
      </w:r>
      <w:r>
        <w:rPr>
          <w:rFonts w:ascii="Arial" w:hAnsi="Arial" w:cs="Arial"/>
          <w:sz w:val="18"/>
          <w:szCs w:val="18"/>
        </w:rPr>
        <w:t xml:space="preserve"> </w:t>
      </w:r>
      <w:r w:rsidR="00B13D0B">
        <w:rPr>
          <w:rFonts w:ascii="Arial" w:hAnsi="Arial" w:cs="Arial"/>
          <w:sz w:val="18"/>
          <w:szCs w:val="18"/>
        </w:rPr>
        <w:t xml:space="preserve">were added </w:t>
      </w:r>
      <w:r>
        <w:rPr>
          <w:rFonts w:ascii="Arial" w:hAnsi="Arial" w:cs="Arial"/>
          <w:sz w:val="18"/>
          <w:szCs w:val="18"/>
        </w:rPr>
        <w:t xml:space="preserve">of </w:t>
      </w:r>
      <w:r w:rsidR="00AD7AE6">
        <w:rPr>
          <w:rFonts w:ascii="Arial" w:hAnsi="Arial" w:cs="Arial"/>
          <w:sz w:val="18"/>
          <w:szCs w:val="18"/>
        </w:rPr>
        <w:t>one (</w:t>
      </w:r>
      <w:r>
        <w:rPr>
          <w:rFonts w:ascii="Arial" w:hAnsi="Arial" w:cs="Arial"/>
          <w:sz w:val="18"/>
          <w:szCs w:val="18"/>
        </w:rPr>
        <w:t>1</w:t>
      </w:r>
      <w:r w:rsidR="00AD7AE6">
        <w:rPr>
          <w:rFonts w:ascii="Arial" w:hAnsi="Arial" w:cs="Arial"/>
          <w:sz w:val="18"/>
          <w:szCs w:val="18"/>
        </w:rPr>
        <w:t>)</w:t>
      </w:r>
      <w:r>
        <w:rPr>
          <w:rFonts w:ascii="Arial" w:hAnsi="Arial" w:cs="Arial"/>
          <w:sz w:val="18"/>
          <w:szCs w:val="18"/>
        </w:rPr>
        <w:t xml:space="preserve"> tabl</w:t>
      </w:r>
      <w:r w:rsidR="00F57C37">
        <w:rPr>
          <w:rFonts w:ascii="Arial" w:hAnsi="Arial" w:cs="Arial"/>
          <w:sz w:val="18"/>
          <w:szCs w:val="18"/>
        </w:rPr>
        <w:t xml:space="preserve">et per day for all strengths. </w:t>
      </w:r>
      <w:r>
        <w:rPr>
          <w:rFonts w:ascii="Arial" w:hAnsi="Arial" w:cs="Arial"/>
          <w:sz w:val="18"/>
          <w:szCs w:val="18"/>
        </w:rPr>
        <w:t>All requests for doses greater than one tablet per day for dose adjustments will be rev</w:t>
      </w:r>
      <w:r w:rsidR="00F57C37">
        <w:rPr>
          <w:rFonts w:ascii="Arial" w:hAnsi="Arial" w:cs="Arial"/>
          <w:sz w:val="18"/>
          <w:szCs w:val="18"/>
        </w:rPr>
        <w:t>iewed on a case-by-case basis.</w:t>
      </w:r>
    </w:p>
    <w:p w:rsidR="002A120A" w:rsidRDefault="002A120A" w:rsidP="00035F56">
      <w:pPr>
        <w:pStyle w:val="ListParagraph"/>
        <w:ind w:left="1440"/>
        <w:rPr>
          <w:rFonts w:ascii="Arial" w:hAnsi="Arial" w:cs="Arial"/>
          <w:sz w:val="18"/>
          <w:szCs w:val="18"/>
        </w:rPr>
      </w:pPr>
    </w:p>
    <w:p w:rsidR="00B13D0B" w:rsidRDefault="002A120A" w:rsidP="002A120A">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F57C37">
        <w:rPr>
          <w:rFonts w:ascii="Arial" w:hAnsi="Arial" w:cs="Arial"/>
          <w:b/>
          <w:sz w:val="18"/>
          <w:szCs w:val="18"/>
        </w:rPr>
        <w:t>.</w:t>
      </w:r>
    </w:p>
    <w:p w:rsidR="002A120A" w:rsidRDefault="002A120A" w:rsidP="002A120A">
      <w:pPr>
        <w:pStyle w:val="ListParagraph"/>
        <w:tabs>
          <w:tab w:val="left" w:pos="1095"/>
        </w:tabs>
        <w:ind w:left="1080"/>
        <w:rPr>
          <w:rFonts w:ascii="Arial" w:hAnsi="Arial" w:cs="Arial"/>
          <w:b/>
          <w:sz w:val="18"/>
          <w:szCs w:val="18"/>
        </w:rPr>
      </w:pPr>
      <w:r w:rsidRPr="00464DAF">
        <w:rPr>
          <w:rFonts w:ascii="Arial" w:hAnsi="Arial" w:cs="Arial"/>
          <w:b/>
          <w:sz w:val="18"/>
          <w:szCs w:val="18"/>
        </w:rPr>
        <w:t xml:space="preserve"> </w:t>
      </w:r>
    </w:p>
    <w:p w:rsidR="00FB622F" w:rsidRPr="00FB622F" w:rsidRDefault="00FB622F" w:rsidP="00787D43">
      <w:pPr>
        <w:pStyle w:val="ListParagraph"/>
        <w:numPr>
          <w:ilvl w:val="3"/>
          <w:numId w:val="17"/>
        </w:numPr>
        <w:rPr>
          <w:rFonts w:ascii="Arial" w:hAnsi="Arial" w:cs="Arial"/>
          <w:sz w:val="18"/>
          <w:szCs w:val="18"/>
        </w:rPr>
      </w:pPr>
      <w:r w:rsidRPr="00FB622F">
        <w:rPr>
          <w:rFonts w:ascii="Arial" w:hAnsi="Arial" w:cs="Arial"/>
          <w:b/>
          <w:sz w:val="18"/>
          <w:szCs w:val="18"/>
          <w:u w:val="single"/>
        </w:rPr>
        <w:t xml:space="preserve">VIMPAT® </w:t>
      </w:r>
      <w:r>
        <w:rPr>
          <w:rFonts w:ascii="Arial" w:hAnsi="Arial" w:cs="Arial"/>
          <w:b/>
          <w:sz w:val="18"/>
          <w:szCs w:val="18"/>
          <w:u w:val="single"/>
        </w:rPr>
        <w:t>50 mg,</w:t>
      </w:r>
      <w:r w:rsidR="00F57C37">
        <w:rPr>
          <w:rFonts w:ascii="Arial" w:hAnsi="Arial" w:cs="Arial"/>
          <w:b/>
          <w:sz w:val="18"/>
          <w:szCs w:val="18"/>
          <w:u w:val="single"/>
        </w:rPr>
        <w:t xml:space="preserve"> 100 mg, 150 mg, 200 mg tablet:</w:t>
      </w:r>
    </w:p>
    <w:p w:rsidR="005D590D" w:rsidRDefault="00FB622F" w:rsidP="00FB622F">
      <w:pPr>
        <w:pStyle w:val="ListParagraph"/>
        <w:ind w:left="1440"/>
        <w:rPr>
          <w:rFonts w:ascii="Arial" w:hAnsi="Arial" w:cs="Arial"/>
          <w:sz w:val="18"/>
          <w:szCs w:val="18"/>
        </w:rPr>
      </w:pPr>
      <w:r w:rsidRPr="00FB622F">
        <w:rPr>
          <w:rFonts w:ascii="Arial" w:hAnsi="Arial" w:cs="Arial"/>
          <w:sz w:val="18"/>
          <w:szCs w:val="18"/>
        </w:rPr>
        <w:t xml:space="preserve">The initial dose should be 50 mg twice daily (100 mg per day). Vimpat® can be increased at weekly intervals by 100 mg/day given as two divided doses up to the recommended maintenance dose of 200 to 400 mg/day, based on individual patient response and tolerability. In clinical trials, the </w:t>
      </w:r>
    </w:p>
    <w:p w:rsidR="00FB622F" w:rsidRPr="00FB622F" w:rsidRDefault="00FB622F" w:rsidP="00FB622F">
      <w:pPr>
        <w:pStyle w:val="ListParagraph"/>
        <w:ind w:left="1440"/>
        <w:rPr>
          <w:rFonts w:ascii="Arial" w:hAnsi="Arial" w:cs="Arial"/>
          <w:sz w:val="18"/>
          <w:szCs w:val="18"/>
        </w:rPr>
      </w:pPr>
      <w:r w:rsidRPr="00FB622F">
        <w:rPr>
          <w:rFonts w:ascii="Arial" w:hAnsi="Arial" w:cs="Arial"/>
          <w:sz w:val="18"/>
          <w:szCs w:val="18"/>
        </w:rPr>
        <w:t>600 mg daily dose was not more effective than the 400 mg daily dose and was associated with a substantially higher rate of adverse reactions.</w:t>
      </w:r>
    </w:p>
    <w:p w:rsidR="00FB622F" w:rsidRDefault="00FB622F" w:rsidP="00FB622F">
      <w:pPr>
        <w:pStyle w:val="ListParagraph"/>
        <w:ind w:left="1440"/>
        <w:rPr>
          <w:rFonts w:ascii="Arial" w:hAnsi="Arial" w:cs="Arial"/>
          <w:sz w:val="18"/>
          <w:szCs w:val="18"/>
        </w:rPr>
      </w:pPr>
    </w:p>
    <w:p w:rsidR="00FB622F" w:rsidRPr="00FB622F" w:rsidRDefault="00FB622F" w:rsidP="00FB622F">
      <w:pPr>
        <w:pStyle w:val="ListParagraph"/>
        <w:ind w:left="1440"/>
        <w:rPr>
          <w:rFonts w:ascii="Arial" w:hAnsi="Arial" w:cs="Arial"/>
          <w:sz w:val="18"/>
          <w:szCs w:val="18"/>
        </w:rPr>
      </w:pPr>
      <w:r>
        <w:rPr>
          <w:rFonts w:ascii="Arial" w:hAnsi="Arial" w:cs="Arial"/>
          <w:sz w:val="18"/>
          <w:szCs w:val="18"/>
        </w:rPr>
        <w:t>The reimbursement rates for Vimpat</w:t>
      </w:r>
      <w:r w:rsidR="005D590D">
        <w:rPr>
          <w:rFonts w:ascii="Arial" w:hAnsi="Arial" w:cs="Arial"/>
          <w:sz w:val="18"/>
          <w:szCs w:val="18"/>
        </w:rPr>
        <w:t>®</w:t>
      </w:r>
      <w:r>
        <w:rPr>
          <w:rFonts w:ascii="Arial" w:hAnsi="Arial" w:cs="Arial"/>
          <w:sz w:val="18"/>
          <w:szCs w:val="18"/>
        </w:rPr>
        <w:t xml:space="preserve"> </w:t>
      </w:r>
      <w:r w:rsidR="005D590D">
        <w:rPr>
          <w:rFonts w:ascii="Arial" w:hAnsi="Arial" w:cs="Arial"/>
          <w:sz w:val="18"/>
          <w:szCs w:val="18"/>
        </w:rPr>
        <w:t>are</w:t>
      </w:r>
      <w:r>
        <w:rPr>
          <w:rFonts w:ascii="Arial" w:hAnsi="Arial" w:cs="Arial"/>
          <w:sz w:val="18"/>
          <w:szCs w:val="18"/>
        </w:rPr>
        <w:t xml:space="preserve"> as follows:</w:t>
      </w:r>
    </w:p>
    <w:p w:rsidR="00FB622F" w:rsidRPr="00FB622F" w:rsidRDefault="00FB622F" w:rsidP="005D590D">
      <w:pPr>
        <w:pStyle w:val="ListParagraph"/>
        <w:ind w:left="1440"/>
        <w:rPr>
          <w:rFonts w:ascii="Arial" w:hAnsi="Arial" w:cs="Arial"/>
          <w:sz w:val="18"/>
          <w:szCs w:val="18"/>
        </w:rPr>
      </w:pPr>
      <w:r w:rsidRPr="00FB622F">
        <w:rPr>
          <w:rFonts w:ascii="Arial" w:hAnsi="Arial" w:cs="Arial"/>
          <w:sz w:val="18"/>
          <w:szCs w:val="18"/>
        </w:rPr>
        <w:t xml:space="preserve">50 mg </w:t>
      </w:r>
      <w:r w:rsidR="005D590D">
        <w:rPr>
          <w:rFonts w:ascii="Arial" w:hAnsi="Arial" w:cs="Arial"/>
          <w:sz w:val="18"/>
          <w:szCs w:val="18"/>
        </w:rPr>
        <w:t xml:space="preserve">tablet </w:t>
      </w:r>
      <w:r w:rsidRPr="00FB622F">
        <w:rPr>
          <w:rFonts w:ascii="Arial" w:hAnsi="Arial" w:cs="Arial"/>
          <w:sz w:val="18"/>
          <w:szCs w:val="18"/>
        </w:rPr>
        <w:t>= $5.79</w:t>
      </w:r>
      <w:r w:rsidR="005D590D">
        <w:rPr>
          <w:rFonts w:ascii="Arial" w:hAnsi="Arial" w:cs="Arial"/>
          <w:sz w:val="18"/>
          <w:szCs w:val="18"/>
        </w:rPr>
        <w:t xml:space="preserve">; </w:t>
      </w:r>
      <w:r w:rsidRPr="00FB622F">
        <w:rPr>
          <w:rFonts w:ascii="Arial" w:hAnsi="Arial" w:cs="Arial"/>
          <w:sz w:val="18"/>
          <w:szCs w:val="18"/>
        </w:rPr>
        <w:t xml:space="preserve">100 mg </w:t>
      </w:r>
      <w:r w:rsidR="005D590D">
        <w:rPr>
          <w:rFonts w:ascii="Arial" w:hAnsi="Arial" w:cs="Arial"/>
          <w:sz w:val="18"/>
          <w:szCs w:val="18"/>
        </w:rPr>
        <w:t>tablet</w:t>
      </w:r>
      <w:r w:rsidRPr="00FB622F">
        <w:rPr>
          <w:rFonts w:ascii="Arial" w:hAnsi="Arial" w:cs="Arial"/>
          <w:sz w:val="18"/>
          <w:szCs w:val="18"/>
        </w:rPr>
        <w:t>= $9.0</w:t>
      </w:r>
      <w:r w:rsidR="005D590D">
        <w:rPr>
          <w:rFonts w:ascii="Arial" w:hAnsi="Arial" w:cs="Arial"/>
          <w:sz w:val="18"/>
          <w:szCs w:val="18"/>
        </w:rPr>
        <w:t xml:space="preserve">6; </w:t>
      </w:r>
      <w:r w:rsidRPr="00FB622F">
        <w:rPr>
          <w:rFonts w:ascii="Arial" w:hAnsi="Arial" w:cs="Arial"/>
          <w:sz w:val="18"/>
          <w:szCs w:val="18"/>
        </w:rPr>
        <w:t xml:space="preserve">150 mg </w:t>
      </w:r>
      <w:r w:rsidR="005D590D">
        <w:rPr>
          <w:rFonts w:ascii="Arial" w:hAnsi="Arial" w:cs="Arial"/>
          <w:sz w:val="18"/>
          <w:szCs w:val="18"/>
        </w:rPr>
        <w:t xml:space="preserve">tablet </w:t>
      </w:r>
      <w:r w:rsidRPr="00FB622F">
        <w:rPr>
          <w:rFonts w:ascii="Arial" w:hAnsi="Arial" w:cs="Arial"/>
          <w:sz w:val="18"/>
          <w:szCs w:val="18"/>
        </w:rPr>
        <w:t>= $9.59</w:t>
      </w:r>
      <w:r w:rsidR="005D590D">
        <w:rPr>
          <w:rFonts w:ascii="Arial" w:hAnsi="Arial" w:cs="Arial"/>
          <w:sz w:val="18"/>
          <w:szCs w:val="18"/>
        </w:rPr>
        <w:t xml:space="preserve">; 200 mg </w:t>
      </w:r>
      <w:r w:rsidR="00B13D0B">
        <w:rPr>
          <w:rFonts w:ascii="Arial" w:hAnsi="Arial" w:cs="Arial"/>
          <w:sz w:val="18"/>
          <w:szCs w:val="18"/>
        </w:rPr>
        <w:t xml:space="preserve">tablet </w:t>
      </w:r>
      <w:r w:rsidR="00B13D0B" w:rsidRPr="00FB622F">
        <w:rPr>
          <w:rFonts w:ascii="Arial" w:hAnsi="Arial" w:cs="Arial"/>
          <w:sz w:val="18"/>
          <w:szCs w:val="18"/>
        </w:rPr>
        <w:t>$</w:t>
      </w:r>
      <w:r w:rsidRPr="00FB622F">
        <w:rPr>
          <w:rFonts w:ascii="Arial" w:hAnsi="Arial" w:cs="Arial"/>
          <w:sz w:val="18"/>
          <w:szCs w:val="18"/>
        </w:rPr>
        <w:t>9.</w:t>
      </w:r>
      <w:r w:rsidR="005D590D">
        <w:rPr>
          <w:rFonts w:ascii="Arial" w:hAnsi="Arial" w:cs="Arial"/>
          <w:sz w:val="18"/>
          <w:szCs w:val="18"/>
        </w:rPr>
        <w:t>60</w:t>
      </w:r>
    </w:p>
    <w:p w:rsidR="00FB622F" w:rsidRPr="00FB622F" w:rsidRDefault="00FB622F" w:rsidP="00FB622F">
      <w:pPr>
        <w:pStyle w:val="ListParagraph"/>
        <w:ind w:left="1440"/>
        <w:rPr>
          <w:rFonts w:ascii="Arial" w:hAnsi="Arial" w:cs="Arial"/>
          <w:sz w:val="18"/>
          <w:szCs w:val="18"/>
        </w:rPr>
      </w:pPr>
    </w:p>
    <w:p w:rsidR="007104C3" w:rsidRDefault="00FB622F" w:rsidP="00FB622F">
      <w:pPr>
        <w:pStyle w:val="ListParagraph"/>
        <w:ind w:left="1440"/>
        <w:rPr>
          <w:rFonts w:ascii="Arial" w:hAnsi="Arial" w:cs="Arial"/>
          <w:sz w:val="18"/>
          <w:szCs w:val="18"/>
        </w:rPr>
      </w:pPr>
      <w:r>
        <w:rPr>
          <w:rFonts w:ascii="Arial" w:hAnsi="Arial" w:cs="Arial"/>
          <w:sz w:val="18"/>
          <w:szCs w:val="18"/>
        </w:rPr>
        <w:t>Q</w:t>
      </w:r>
      <w:r w:rsidRPr="00FB622F">
        <w:rPr>
          <w:rFonts w:ascii="Arial" w:hAnsi="Arial" w:cs="Arial"/>
          <w:sz w:val="18"/>
          <w:szCs w:val="18"/>
        </w:rPr>
        <w:t xml:space="preserve">uantity edits </w:t>
      </w:r>
      <w:r w:rsidR="005D590D">
        <w:rPr>
          <w:rFonts w:ascii="Arial" w:hAnsi="Arial" w:cs="Arial"/>
          <w:sz w:val="18"/>
          <w:szCs w:val="18"/>
        </w:rPr>
        <w:t>were added for</w:t>
      </w:r>
      <w:r w:rsidR="00AD7AE6">
        <w:rPr>
          <w:rFonts w:ascii="Arial" w:hAnsi="Arial" w:cs="Arial"/>
          <w:sz w:val="18"/>
          <w:szCs w:val="18"/>
        </w:rPr>
        <w:t xml:space="preserve"> two</w:t>
      </w:r>
      <w:r w:rsidR="005D590D">
        <w:rPr>
          <w:rFonts w:ascii="Arial" w:hAnsi="Arial" w:cs="Arial"/>
          <w:sz w:val="18"/>
          <w:szCs w:val="18"/>
        </w:rPr>
        <w:t xml:space="preserve"> </w:t>
      </w:r>
      <w:r w:rsidR="00AD7AE6">
        <w:rPr>
          <w:rFonts w:ascii="Arial" w:hAnsi="Arial" w:cs="Arial"/>
          <w:sz w:val="18"/>
          <w:szCs w:val="18"/>
        </w:rPr>
        <w:t>(</w:t>
      </w:r>
      <w:r>
        <w:rPr>
          <w:rFonts w:ascii="Arial" w:hAnsi="Arial" w:cs="Arial"/>
          <w:sz w:val="18"/>
          <w:szCs w:val="18"/>
        </w:rPr>
        <w:t>2</w:t>
      </w:r>
      <w:r w:rsidR="00AD7AE6">
        <w:rPr>
          <w:rFonts w:ascii="Arial" w:hAnsi="Arial" w:cs="Arial"/>
          <w:sz w:val="18"/>
          <w:szCs w:val="18"/>
        </w:rPr>
        <w:t>)</w:t>
      </w:r>
      <w:r>
        <w:rPr>
          <w:rFonts w:ascii="Arial" w:hAnsi="Arial" w:cs="Arial"/>
          <w:sz w:val="18"/>
          <w:szCs w:val="18"/>
        </w:rPr>
        <w:t xml:space="preserve"> tablets per day for all strengths, and a</w:t>
      </w:r>
      <w:r w:rsidRPr="00FB622F">
        <w:rPr>
          <w:rFonts w:ascii="Arial" w:hAnsi="Arial" w:cs="Arial"/>
          <w:sz w:val="18"/>
          <w:szCs w:val="18"/>
        </w:rPr>
        <w:t xml:space="preserve"> cumulative quantity edit of 62</w:t>
      </w:r>
      <w:r>
        <w:rPr>
          <w:rFonts w:ascii="Arial" w:hAnsi="Arial" w:cs="Arial"/>
          <w:sz w:val="18"/>
          <w:szCs w:val="18"/>
        </w:rPr>
        <w:t xml:space="preserve"> tablets per </w:t>
      </w:r>
      <w:r w:rsidRPr="00FB622F">
        <w:rPr>
          <w:rFonts w:ascii="Arial" w:hAnsi="Arial" w:cs="Arial"/>
          <w:sz w:val="18"/>
          <w:szCs w:val="18"/>
        </w:rPr>
        <w:t>31 days’ supply</w:t>
      </w:r>
      <w:r w:rsidR="005D590D">
        <w:rPr>
          <w:rFonts w:ascii="Arial" w:hAnsi="Arial" w:cs="Arial"/>
          <w:sz w:val="18"/>
          <w:szCs w:val="18"/>
        </w:rPr>
        <w:t xml:space="preserve"> for each strength tablet was added</w:t>
      </w:r>
      <w:r w:rsidRPr="00FB622F">
        <w:rPr>
          <w:rFonts w:ascii="Arial" w:hAnsi="Arial" w:cs="Arial"/>
          <w:sz w:val="18"/>
          <w:szCs w:val="18"/>
        </w:rPr>
        <w:t>.</w:t>
      </w:r>
    </w:p>
    <w:p w:rsidR="002A120A" w:rsidRDefault="002A120A" w:rsidP="00FB622F">
      <w:pPr>
        <w:pStyle w:val="ListParagraph"/>
        <w:ind w:left="1440"/>
        <w:rPr>
          <w:rFonts w:ascii="Arial" w:hAnsi="Arial" w:cs="Arial"/>
          <w:sz w:val="18"/>
          <w:szCs w:val="18"/>
        </w:rPr>
      </w:pPr>
    </w:p>
    <w:p w:rsidR="002A120A" w:rsidRDefault="002A120A" w:rsidP="002A120A">
      <w:pPr>
        <w:pStyle w:val="ListParagraph"/>
        <w:tabs>
          <w:tab w:val="left" w:pos="1095"/>
        </w:tabs>
        <w:ind w:left="1080"/>
        <w:rPr>
          <w:rFonts w:ascii="Arial" w:hAnsi="Arial" w:cs="Arial"/>
          <w:b/>
          <w:sz w:val="18"/>
          <w:szCs w:val="18"/>
        </w:rPr>
      </w:pPr>
      <w:r w:rsidRPr="00464DAF">
        <w:rPr>
          <w:rFonts w:ascii="Arial" w:hAnsi="Arial" w:cs="Arial"/>
          <w:b/>
          <w:sz w:val="18"/>
          <w:szCs w:val="18"/>
        </w:rPr>
        <w:t>HP Prescription Drug Help Desk at 1-800-707-3854 or at 1-501-374-6609, extension 500</w:t>
      </w:r>
      <w:r w:rsidRPr="00464DAF">
        <w:rPr>
          <w:rFonts w:ascii="Arial" w:hAnsi="Arial" w:cs="Arial"/>
          <w:sz w:val="18"/>
          <w:szCs w:val="18"/>
        </w:rPr>
        <w:t xml:space="preserve"> for information</w:t>
      </w:r>
      <w:r w:rsidR="00F57C37">
        <w:rPr>
          <w:rFonts w:ascii="Arial" w:hAnsi="Arial" w:cs="Arial"/>
          <w:b/>
          <w:sz w:val="18"/>
          <w:szCs w:val="18"/>
        </w:rPr>
        <w:t>.</w:t>
      </w:r>
    </w:p>
    <w:p w:rsidR="007E18C5" w:rsidRPr="00FB622F" w:rsidRDefault="007E18C5" w:rsidP="00FB622F">
      <w:pPr>
        <w:pStyle w:val="ListParagraph"/>
        <w:ind w:left="360"/>
        <w:rPr>
          <w:rFonts w:ascii="Arial" w:hAnsi="Arial" w:cs="Arial"/>
          <w:sz w:val="18"/>
          <w:szCs w:val="18"/>
        </w:rPr>
      </w:pPr>
    </w:p>
    <w:p w:rsidR="00227AD3" w:rsidRDefault="00227AD3" w:rsidP="00227AD3">
      <w:pPr>
        <w:rPr>
          <w:rFonts w:ascii="Arial" w:hAnsi="Arial" w:cs="Arial"/>
          <w:b/>
          <w:sz w:val="18"/>
          <w:szCs w:val="18"/>
        </w:rPr>
      </w:pPr>
      <w:r w:rsidRPr="00464DAF">
        <w:rPr>
          <w:rFonts w:ascii="Arial" w:hAnsi="Arial" w:cs="Arial"/>
          <w:b/>
          <w:sz w:val="18"/>
          <w:szCs w:val="18"/>
        </w:rPr>
        <w:lastRenderedPageBreak/>
        <w:t>FRIENDLY REMINDERS:</w:t>
      </w:r>
    </w:p>
    <w:p w:rsidR="00AD7AE6" w:rsidRPr="00464DAF" w:rsidRDefault="00AD7AE6" w:rsidP="00227AD3">
      <w:pPr>
        <w:rPr>
          <w:rFonts w:ascii="Arial" w:hAnsi="Arial" w:cs="Arial"/>
          <w:b/>
          <w:sz w:val="18"/>
          <w:szCs w:val="18"/>
        </w:rPr>
      </w:pPr>
    </w:p>
    <w:p w:rsidR="00702568" w:rsidRPr="00117717" w:rsidRDefault="00702568" w:rsidP="00702568">
      <w:pPr>
        <w:pStyle w:val="ListParagraph"/>
        <w:numPr>
          <w:ilvl w:val="0"/>
          <w:numId w:val="7"/>
        </w:numPr>
        <w:rPr>
          <w:rFonts w:ascii="Arial" w:hAnsi="Arial" w:cs="Arial"/>
          <w:sz w:val="18"/>
          <w:szCs w:val="18"/>
          <w:u w:val="single"/>
        </w:rPr>
      </w:pPr>
      <w:r w:rsidRPr="00117717">
        <w:rPr>
          <w:rFonts w:ascii="Arial" w:hAnsi="Arial" w:cs="Arial"/>
          <w:b/>
          <w:bCs/>
          <w:sz w:val="18"/>
          <w:szCs w:val="18"/>
          <w:u w:val="single"/>
        </w:rPr>
        <w:t>Incarcerated Persons</w:t>
      </w:r>
      <w:r w:rsidRPr="00117717">
        <w:rPr>
          <w:rFonts w:ascii="Arial" w:hAnsi="Arial" w:cs="Arial"/>
          <w:b/>
          <w:bCs/>
          <w:sz w:val="18"/>
          <w:szCs w:val="18"/>
        </w:rPr>
        <w:t>:</w:t>
      </w:r>
      <w:r w:rsidRPr="00117717">
        <w:rPr>
          <w:rFonts w:ascii="Arial" w:hAnsi="Arial" w:cs="Arial"/>
          <w:bCs/>
          <w:sz w:val="18"/>
          <w:szCs w:val="18"/>
        </w:rPr>
        <w:t xml:space="preserve"> The Medicaid Pharmacy Program is prohibited by federal regulations, 42 C.F.R. §435.1009 and §435.1010, from paying for drug claims for Medicaid recipients who, on the date the prescript</w:t>
      </w:r>
      <w:r w:rsidR="00F57C37">
        <w:rPr>
          <w:rFonts w:ascii="Arial" w:hAnsi="Arial" w:cs="Arial"/>
          <w:bCs/>
          <w:sz w:val="18"/>
          <w:szCs w:val="18"/>
        </w:rPr>
        <w:t xml:space="preserve">ion is filled, are incarcerated </w:t>
      </w:r>
      <w:r w:rsidRPr="00117717">
        <w:rPr>
          <w:rFonts w:ascii="Arial" w:hAnsi="Arial" w:cs="Arial"/>
          <w:bCs/>
          <w:sz w:val="18"/>
          <w:szCs w:val="18"/>
        </w:rPr>
        <w:t xml:space="preserve">in a correctional or holding facility for individuals who are prisoners, including juvenile correctional facilities, are detained pending disposition of charges, or are held under court order as material witnesses. </w:t>
      </w:r>
      <w:r w:rsidRPr="00117717">
        <w:rPr>
          <w:rFonts w:ascii="Arial" w:hAnsi="Arial" w:cs="Arial"/>
          <w:bCs/>
          <w:sz w:val="18"/>
          <w:szCs w:val="18"/>
          <w:u w:val="single"/>
        </w:rPr>
        <w:t xml:space="preserve">If medications are requested for incarcerated Medicaid recipients, </w:t>
      </w:r>
      <w:r w:rsidRPr="00117717">
        <w:rPr>
          <w:rFonts w:ascii="Arial" w:hAnsi="Arial" w:cs="Arial"/>
          <w:bCs/>
          <w:i/>
          <w:iCs/>
          <w:sz w:val="18"/>
          <w:szCs w:val="18"/>
          <w:u w:val="single"/>
        </w:rPr>
        <w:t>the medications cannot be billed to Medicaid Pharmacy Program</w:t>
      </w:r>
      <w:r w:rsidR="00F57C37">
        <w:rPr>
          <w:rFonts w:ascii="Arial" w:hAnsi="Arial" w:cs="Arial"/>
          <w:bCs/>
          <w:sz w:val="18"/>
          <w:szCs w:val="18"/>
          <w:u w:val="single"/>
        </w:rPr>
        <w:t xml:space="preserve"> and are subject to recoupment.</w:t>
      </w:r>
      <w:r w:rsidRPr="00117717">
        <w:rPr>
          <w:rFonts w:ascii="Arial" w:hAnsi="Arial" w:cs="Arial"/>
          <w:bCs/>
          <w:sz w:val="18"/>
          <w:szCs w:val="18"/>
          <w:u w:val="single"/>
        </w:rPr>
        <w:t xml:space="preserve"> Pharmacists should contact the correctional facility regarding the facility’s reimbursement procedures for the requested medications.</w:t>
      </w:r>
    </w:p>
    <w:p w:rsidR="00702568" w:rsidRPr="00702568" w:rsidRDefault="00702568" w:rsidP="00702568">
      <w:pPr>
        <w:pStyle w:val="ListParagraph"/>
        <w:ind w:left="360"/>
        <w:rPr>
          <w:rFonts w:ascii="Arial" w:hAnsi="Arial" w:cs="Arial"/>
          <w:sz w:val="18"/>
          <w:szCs w:val="18"/>
        </w:rPr>
      </w:pPr>
    </w:p>
    <w:p w:rsidR="00B167DF" w:rsidRPr="00464DAF" w:rsidRDefault="00B167DF" w:rsidP="00CD3DEF">
      <w:pPr>
        <w:pStyle w:val="ListParagraph"/>
        <w:numPr>
          <w:ilvl w:val="0"/>
          <w:numId w:val="7"/>
        </w:numPr>
        <w:rPr>
          <w:rFonts w:ascii="Arial" w:hAnsi="Arial" w:cs="Arial"/>
          <w:sz w:val="18"/>
          <w:szCs w:val="18"/>
        </w:rPr>
      </w:pPr>
      <w:r w:rsidRPr="00464DAF">
        <w:rPr>
          <w:rFonts w:ascii="Arial" w:hAnsi="Arial" w:cs="Arial"/>
          <w:b/>
          <w:sz w:val="18"/>
          <w:szCs w:val="18"/>
          <w:u w:val="single"/>
        </w:rPr>
        <w:t>The ANTIPSYCHOTIC AGENT CRITERIA FOR CHILDREN &lt; 18 YOA</w:t>
      </w:r>
      <w:r w:rsidRPr="00464DAF">
        <w:rPr>
          <w:rFonts w:ascii="Arial" w:hAnsi="Arial" w:cs="Arial"/>
          <w:sz w:val="18"/>
          <w:szCs w:val="18"/>
        </w:rPr>
        <w:t xml:space="preserve"> have an </w:t>
      </w:r>
      <w:r w:rsidRPr="00464DAF">
        <w:rPr>
          <w:rFonts w:ascii="Arial" w:hAnsi="Arial" w:cs="Arial"/>
          <w:b/>
          <w:sz w:val="18"/>
          <w:szCs w:val="18"/>
        </w:rPr>
        <w:t xml:space="preserve">ongoing requirement for </w:t>
      </w:r>
      <w:r w:rsidR="00F57C37">
        <w:rPr>
          <w:rFonts w:ascii="Arial" w:hAnsi="Arial" w:cs="Arial"/>
          <w:b/>
          <w:sz w:val="18"/>
          <w:szCs w:val="18"/>
        </w:rPr>
        <w:t xml:space="preserve">labs for metabolic monitoring. </w:t>
      </w:r>
      <w:r w:rsidRPr="00464DAF">
        <w:rPr>
          <w:rFonts w:ascii="Arial" w:hAnsi="Arial" w:cs="Arial"/>
          <w:sz w:val="18"/>
          <w:szCs w:val="18"/>
        </w:rPr>
        <w:t>When any provider sends a patient who is less than 18 y</w:t>
      </w:r>
      <w:r w:rsidR="00830A5C">
        <w:rPr>
          <w:rFonts w:ascii="Arial" w:hAnsi="Arial" w:cs="Arial"/>
          <w:sz w:val="18"/>
          <w:szCs w:val="18"/>
        </w:rPr>
        <w:t>ea</w:t>
      </w:r>
      <w:r w:rsidRPr="00464DAF">
        <w:rPr>
          <w:rFonts w:ascii="Arial" w:hAnsi="Arial" w:cs="Arial"/>
          <w:sz w:val="18"/>
          <w:szCs w:val="18"/>
        </w:rPr>
        <w:t>rs of age for the metabolic labs that are required for the antipsychotic agents</w:t>
      </w:r>
      <w:r w:rsidRPr="00464DAF">
        <w:rPr>
          <w:rFonts w:ascii="Arial" w:hAnsi="Arial" w:cs="Arial"/>
          <w:i/>
          <w:sz w:val="18"/>
          <w:szCs w:val="18"/>
        </w:rPr>
        <w:t xml:space="preserve">, the provider must include </w:t>
      </w:r>
      <w:r w:rsidRPr="00464DAF">
        <w:rPr>
          <w:rFonts w:ascii="Arial" w:hAnsi="Arial" w:cs="Arial"/>
          <w:sz w:val="18"/>
          <w:szCs w:val="18"/>
          <w:u w:val="single"/>
        </w:rPr>
        <w:t>the PCP’s name and Medicaid ID number</w:t>
      </w:r>
      <w:r w:rsidRPr="00464DAF">
        <w:rPr>
          <w:rFonts w:ascii="Arial" w:hAnsi="Arial" w:cs="Arial"/>
          <w:sz w:val="18"/>
          <w:szCs w:val="18"/>
        </w:rPr>
        <w:t xml:space="preserve"> </w:t>
      </w:r>
      <w:r w:rsidRPr="00464DAF">
        <w:rPr>
          <w:rFonts w:ascii="Arial" w:hAnsi="Arial" w:cs="Arial"/>
          <w:i/>
          <w:sz w:val="18"/>
          <w:szCs w:val="18"/>
        </w:rPr>
        <w:t>on the lab order request form</w:t>
      </w:r>
      <w:r w:rsidR="00F57C37">
        <w:rPr>
          <w:rFonts w:ascii="Arial" w:hAnsi="Arial" w:cs="Arial"/>
          <w:sz w:val="18"/>
          <w:szCs w:val="18"/>
        </w:rPr>
        <w:t xml:space="preserve">. </w:t>
      </w:r>
      <w:r w:rsidRPr="00464DAF">
        <w:rPr>
          <w:rFonts w:ascii="Arial" w:hAnsi="Arial" w:cs="Arial"/>
          <w:i/>
          <w:sz w:val="18"/>
          <w:szCs w:val="18"/>
        </w:rPr>
        <w:t xml:space="preserve">It does </w:t>
      </w:r>
      <w:r w:rsidRPr="00464DAF">
        <w:rPr>
          <w:rFonts w:ascii="Arial" w:hAnsi="Arial" w:cs="Arial"/>
          <w:b/>
          <w:i/>
          <w:sz w:val="18"/>
          <w:szCs w:val="18"/>
          <w:u w:val="single"/>
        </w:rPr>
        <w:t>not</w:t>
      </w:r>
      <w:r w:rsidRPr="00464DAF">
        <w:rPr>
          <w:rFonts w:ascii="Arial" w:hAnsi="Arial" w:cs="Arial"/>
          <w:i/>
          <w:sz w:val="18"/>
          <w:szCs w:val="18"/>
        </w:rPr>
        <w:t xml:space="preserve"> have to be the PCP ordering the labs.</w:t>
      </w:r>
      <w:r w:rsidR="00F57C37">
        <w:rPr>
          <w:rFonts w:ascii="Arial" w:hAnsi="Arial" w:cs="Arial"/>
          <w:sz w:val="18"/>
          <w:szCs w:val="18"/>
        </w:rPr>
        <w:t xml:space="preserve"> </w:t>
      </w:r>
      <w:r w:rsidRPr="00464DAF">
        <w:rPr>
          <w:rFonts w:ascii="Arial" w:hAnsi="Arial" w:cs="Arial"/>
          <w:sz w:val="18"/>
          <w:szCs w:val="18"/>
        </w:rPr>
        <w:t xml:space="preserve">Please refer to the Physician/Independent Lab/CRNA/Radiation Therapy Center Provider Manual, </w:t>
      </w:r>
      <w:r w:rsidR="00830A5C">
        <w:rPr>
          <w:rFonts w:ascii="Arial" w:hAnsi="Arial" w:cs="Arial"/>
          <w:sz w:val="18"/>
          <w:szCs w:val="18"/>
        </w:rPr>
        <w:t>S</w:t>
      </w:r>
      <w:r w:rsidRPr="00464DAF">
        <w:rPr>
          <w:rFonts w:ascii="Arial" w:hAnsi="Arial" w:cs="Arial"/>
          <w:sz w:val="18"/>
          <w:szCs w:val="18"/>
        </w:rPr>
        <w:t>ection II, 245.000 B.</w:t>
      </w:r>
    </w:p>
    <w:p w:rsidR="00B167DF" w:rsidRPr="00464DAF" w:rsidRDefault="00B167DF" w:rsidP="00B167DF">
      <w:pPr>
        <w:pStyle w:val="ListParagraph"/>
        <w:ind w:left="360"/>
        <w:rPr>
          <w:rFonts w:ascii="Arial" w:hAnsi="Arial" w:cs="Arial"/>
          <w:sz w:val="18"/>
          <w:szCs w:val="18"/>
        </w:rPr>
      </w:pPr>
    </w:p>
    <w:p w:rsidR="00B167DF" w:rsidRPr="00464DAF" w:rsidRDefault="00B167DF" w:rsidP="00CD3DEF">
      <w:pPr>
        <w:pStyle w:val="ListParagraph"/>
        <w:numPr>
          <w:ilvl w:val="0"/>
          <w:numId w:val="7"/>
        </w:numPr>
        <w:rPr>
          <w:rFonts w:ascii="Arial" w:hAnsi="Arial" w:cs="Arial"/>
          <w:b/>
          <w:sz w:val="18"/>
          <w:szCs w:val="18"/>
          <w:u w:val="single"/>
        </w:rPr>
      </w:pPr>
      <w:r w:rsidRPr="00464DAF">
        <w:rPr>
          <w:rFonts w:ascii="Arial" w:hAnsi="Arial" w:cs="Arial"/>
          <w:b/>
          <w:sz w:val="18"/>
          <w:szCs w:val="18"/>
          <w:u w:val="single"/>
        </w:rPr>
        <w:t>CHANGES TO INFORMED CONSENT FORM FOR ANTIPSYCHOTIC AGENT PA FOR CHILDREN &lt; 18 YOA:</w:t>
      </w:r>
    </w:p>
    <w:p w:rsidR="00B167DF" w:rsidRPr="00464DAF" w:rsidRDefault="00B167DF" w:rsidP="00B167DF">
      <w:pPr>
        <w:pStyle w:val="ListParagraph"/>
        <w:ind w:left="360"/>
        <w:rPr>
          <w:rFonts w:ascii="Arial" w:hAnsi="Arial" w:cs="Arial"/>
          <w:sz w:val="18"/>
          <w:szCs w:val="18"/>
        </w:rPr>
      </w:pPr>
      <w:r w:rsidRPr="00464DAF">
        <w:rPr>
          <w:rFonts w:ascii="Arial" w:hAnsi="Arial" w:cs="Arial"/>
          <w:sz w:val="18"/>
          <w:szCs w:val="18"/>
        </w:rPr>
        <w:t>For those providers who have not had their own version of the Informed Consent form approved for use with Medicaid PA requests and who use the Medicaid Informed Consent form for antipsychotic agents, the form has been updated (v010914) and is p</w:t>
      </w:r>
      <w:r w:rsidR="00F57C37">
        <w:rPr>
          <w:rFonts w:ascii="Arial" w:hAnsi="Arial" w:cs="Arial"/>
          <w:sz w:val="18"/>
          <w:szCs w:val="18"/>
        </w:rPr>
        <w:t xml:space="preserve">osted on the Medicaid website. </w:t>
      </w:r>
      <w:r w:rsidRPr="00464DAF">
        <w:rPr>
          <w:rFonts w:ascii="Arial" w:hAnsi="Arial" w:cs="Arial"/>
          <w:sz w:val="18"/>
          <w:szCs w:val="18"/>
        </w:rPr>
        <w:t xml:space="preserve">As the form is updated and posted on the Medicaid website, </w:t>
      </w:r>
      <w:r w:rsidRPr="00464DAF">
        <w:rPr>
          <w:rFonts w:ascii="Arial" w:hAnsi="Arial" w:cs="Arial"/>
          <w:i/>
          <w:sz w:val="18"/>
          <w:szCs w:val="18"/>
        </w:rPr>
        <w:t xml:space="preserve">providers are required to use the most </w:t>
      </w:r>
      <w:r w:rsidR="00AD7AE6">
        <w:rPr>
          <w:rFonts w:ascii="Arial" w:hAnsi="Arial" w:cs="Arial"/>
          <w:i/>
          <w:sz w:val="18"/>
          <w:szCs w:val="18"/>
        </w:rPr>
        <w:t>current</w:t>
      </w:r>
      <w:r w:rsidRPr="00464DAF">
        <w:rPr>
          <w:rFonts w:ascii="Arial" w:hAnsi="Arial" w:cs="Arial"/>
          <w:i/>
          <w:sz w:val="18"/>
          <w:szCs w:val="18"/>
        </w:rPr>
        <w:t xml:space="preserve"> form</w:t>
      </w:r>
      <w:r w:rsidR="00F57C37">
        <w:rPr>
          <w:rFonts w:ascii="Arial" w:hAnsi="Arial" w:cs="Arial"/>
          <w:sz w:val="18"/>
          <w:szCs w:val="18"/>
        </w:rPr>
        <w:t>.</w:t>
      </w:r>
      <w:r w:rsidRPr="00464DAF">
        <w:rPr>
          <w:rFonts w:ascii="Arial" w:hAnsi="Arial" w:cs="Arial"/>
          <w:sz w:val="18"/>
          <w:szCs w:val="18"/>
        </w:rPr>
        <w:t xml:space="preserve"> </w:t>
      </w:r>
      <w:r w:rsidRPr="00464DAF">
        <w:rPr>
          <w:rFonts w:ascii="Arial" w:hAnsi="Arial" w:cs="Arial"/>
          <w:b/>
          <w:sz w:val="18"/>
          <w:szCs w:val="18"/>
        </w:rPr>
        <w:t>Effective, Dec. 10, 2013, the old versions will no longer be accepted.</w:t>
      </w:r>
    </w:p>
    <w:p w:rsidR="00B167DF" w:rsidRPr="00464DAF" w:rsidRDefault="00B167DF" w:rsidP="00B167DF">
      <w:pPr>
        <w:pStyle w:val="ListParagraph"/>
        <w:ind w:left="360"/>
        <w:rPr>
          <w:rFonts w:ascii="Arial" w:hAnsi="Arial" w:cs="Arial"/>
          <w:sz w:val="18"/>
          <w:szCs w:val="18"/>
        </w:rPr>
      </w:pPr>
    </w:p>
    <w:p w:rsidR="006025CC" w:rsidRPr="00464DAF" w:rsidRDefault="006025CC" w:rsidP="00446878">
      <w:pPr>
        <w:pStyle w:val="ListParagraph"/>
        <w:numPr>
          <w:ilvl w:val="0"/>
          <w:numId w:val="7"/>
        </w:numPr>
        <w:rPr>
          <w:rFonts w:ascii="Arial" w:hAnsi="Arial" w:cs="Arial"/>
          <w:sz w:val="18"/>
          <w:szCs w:val="18"/>
        </w:rPr>
      </w:pPr>
      <w:r w:rsidRPr="00464DAF">
        <w:rPr>
          <w:rFonts w:ascii="Arial" w:hAnsi="Arial" w:cs="Arial"/>
          <w:sz w:val="18"/>
          <w:szCs w:val="18"/>
        </w:rPr>
        <w:t>The AR Medicaid Pharmacy Program reimburses for covered outpatient drugs for Medicaid recipient</w:t>
      </w:r>
      <w:r w:rsidR="00AD7AE6">
        <w:rPr>
          <w:rFonts w:ascii="Arial" w:hAnsi="Arial" w:cs="Arial"/>
          <w:sz w:val="18"/>
          <w:szCs w:val="18"/>
        </w:rPr>
        <w:t>s</w:t>
      </w:r>
      <w:r w:rsidRPr="00464DAF">
        <w:rPr>
          <w:rFonts w:ascii="Arial" w:hAnsi="Arial" w:cs="Arial"/>
          <w:sz w:val="18"/>
          <w:szCs w:val="18"/>
        </w:rPr>
        <w:t xml:space="preserve"> with prescription drug benefits. </w:t>
      </w:r>
      <w:r w:rsidRPr="00464DAF">
        <w:rPr>
          <w:rFonts w:ascii="Arial" w:hAnsi="Arial" w:cs="Arial"/>
          <w:b/>
          <w:i/>
          <w:sz w:val="18"/>
          <w:szCs w:val="18"/>
        </w:rPr>
        <w:t>Only medications prescribed to that recipient can be billed using the recipient’s Medicaid ID.</w:t>
      </w:r>
      <w:r w:rsidRPr="00464DAF">
        <w:rPr>
          <w:rFonts w:ascii="Arial" w:hAnsi="Arial" w:cs="Arial"/>
          <w:i/>
          <w:sz w:val="18"/>
          <w:szCs w:val="18"/>
        </w:rPr>
        <w:t xml:space="preserve"> </w:t>
      </w:r>
      <w:r w:rsidRPr="00464DAF">
        <w:rPr>
          <w:rFonts w:ascii="Arial" w:hAnsi="Arial" w:cs="Arial"/>
          <w:sz w:val="18"/>
          <w:szCs w:val="18"/>
        </w:rPr>
        <w:t>Sanctions may be imposed against a provider for engaging in conduct that defrauds or abuses the Medicaid program. This could include billing a child’s medication to a parent’s Med</w:t>
      </w:r>
      <w:r w:rsidR="00F57C37">
        <w:rPr>
          <w:rFonts w:ascii="Arial" w:hAnsi="Arial" w:cs="Arial"/>
          <w:sz w:val="18"/>
          <w:szCs w:val="18"/>
        </w:rPr>
        <w:t>icaid ID number and vice-versa.</w:t>
      </w:r>
    </w:p>
    <w:p w:rsidR="006025CC" w:rsidRPr="00464DAF" w:rsidRDefault="006025CC" w:rsidP="006025CC">
      <w:pPr>
        <w:pStyle w:val="ListParagraph"/>
        <w:rPr>
          <w:rFonts w:ascii="Arial" w:hAnsi="Arial" w:cs="Arial"/>
          <w:sz w:val="18"/>
          <w:szCs w:val="18"/>
        </w:rPr>
      </w:pPr>
    </w:p>
    <w:p w:rsidR="005F6865" w:rsidRPr="00464DAF" w:rsidRDefault="005F6865" w:rsidP="00446878">
      <w:pPr>
        <w:pStyle w:val="ListParagraph"/>
        <w:numPr>
          <w:ilvl w:val="0"/>
          <w:numId w:val="7"/>
        </w:numPr>
        <w:rPr>
          <w:rFonts w:ascii="Arial" w:hAnsi="Arial" w:cs="Arial"/>
          <w:b/>
          <w:sz w:val="18"/>
          <w:szCs w:val="18"/>
        </w:rPr>
      </w:pPr>
      <w:r w:rsidRPr="00464DAF">
        <w:rPr>
          <w:rFonts w:ascii="Arial" w:hAnsi="Arial" w:cs="Arial"/>
          <w:sz w:val="18"/>
          <w:szCs w:val="18"/>
          <w:u w:val="single"/>
        </w:rPr>
        <w:t xml:space="preserve">EFFECTIVE </w:t>
      </w:r>
      <w:r w:rsidRPr="00464DAF">
        <w:rPr>
          <w:rFonts w:ascii="Arial" w:hAnsi="Arial" w:cs="Arial"/>
          <w:b/>
          <w:sz w:val="18"/>
          <w:szCs w:val="18"/>
          <w:u w:val="single"/>
        </w:rPr>
        <w:t>Nov. 20, 2013</w:t>
      </w:r>
      <w:r w:rsidRPr="00464DAF">
        <w:rPr>
          <w:rFonts w:ascii="Arial" w:hAnsi="Arial" w:cs="Arial"/>
          <w:sz w:val="18"/>
          <w:szCs w:val="18"/>
          <w:u w:val="single"/>
        </w:rPr>
        <w:t>:</w:t>
      </w:r>
      <w:r w:rsidRPr="00464DAF">
        <w:rPr>
          <w:rFonts w:ascii="Arial" w:hAnsi="Arial" w:cs="Arial"/>
          <w:sz w:val="18"/>
          <w:szCs w:val="18"/>
        </w:rPr>
        <w:t xml:space="preserve"> PHARMACY CLAIMS WILL DENY AT POINT OF SALE IF THE CLAIM IS SUBMITTED WITH</w:t>
      </w:r>
      <w:r w:rsidR="002554DF" w:rsidRPr="00464DAF">
        <w:rPr>
          <w:rFonts w:ascii="Arial" w:hAnsi="Arial" w:cs="Arial"/>
          <w:sz w:val="18"/>
          <w:szCs w:val="18"/>
        </w:rPr>
        <w:t xml:space="preserve"> EITHER THE</w:t>
      </w:r>
      <w:r w:rsidRPr="00464DAF">
        <w:rPr>
          <w:rFonts w:ascii="Arial" w:hAnsi="Arial" w:cs="Arial"/>
          <w:sz w:val="18"/>
          <w:szCs w:val="18"/>
        </w:rPr>
        <w:t xml:space="preserve"> INCORRECT PATIENT NAME </w:t>
      </w:r>
      <w:r w:rsidR="002554DF" w:rsidRPr="00464DAF">
        <w:rPr>
          <w:rFonts w:ascii="Arial" w:hAnsi="Arial" w:cs="Arial"/>
          <w:sz w:val="18"/>
          <w:szCs w:val="18"/>
        </w:rPr>
        <w:t>OR</w:t>
      </w:r>
      <w:r w:rsidRPr="00464DAF">
        <w:rPr>
          <w:rFonts w:ascii="Arial" w:hAnsi="Arial" w:cs="Arial"/>
          <w:sz w:val="18"/>
          <w:szCs w:val="18"/>
        </w:rPr>
        <w:t xml:space="preserve"> </w:t>
      </w:r>
      <w:r w:rsidR="002405DC" w:rsidRPr="00464DAF">
        <w:rPr>
          <w:rFonts w:ascii="Arial" w:hAnsi="Arial" w:cs="Arial"/>
          <w:sz w:val="18"/>
          <w:szCs w:val="18"/>
        </w:rPr>
        <w:t xml:space="preserve">INCORRECT </w:t>
      </w:r>
      <w:r w:rsidR="00F57C37">
        <w:rPr>
          <w:rFonts w:ascii="Arial" w:hAnsi="Arial" w:cs="Arial"/>
          <w:sz w:val="18"/>
          <w:szCs w:val="18"/>
        </w:rPr>
        <w:t xml:space="preserve">DATE OF BIRTH. </w:t>
      </w:r>
      <w:r w:rsidR="00F57C37">
        <w:rPr>
          <w:rFonts w:ascii="Arial" w:hAnsi="Arial" w:cs="Arial"/>
          <w:b/>
          <w:sz w:val="18"/>
          <w:szCs w:val="18"/>
        </w:rPr>
        <w:t xml:space="preserve">Prescribers: </w:t>
      </w:r>
      <w:r w:rsidRPr="00464DAF">
        <w:rPr>
          <w:rFonts w:ascii="Arial" w:hAnsi="Arial" w:cs="Arial"/>
          <w:b/>
          <w:sz w:val="18"/>
          <w:szCs w:val="18"/>
        </w:rPr>
        <w:t xml:space="preserve">Please ensure </w:t>
      </w:r>
      <w:r w:rsidR="00AD7AE6">
        <w:rPr>
          <w:rFonts w:ascii="Arial" w:hAnsi="Arial" w:cs="Arial"/>
          <w:b/>
          <w:sz w:val="18"/>
          <w:szCs w:val="18"/>
        </w:rPr>
        <w:t xml:space="preserve">the </w:t>
      </w:r>
      <w:r w:rsidRPr="00464DAF">
        <w:rPr>
          <w:rFonts w:ascii="Arial" w:hAnsi="Arial" w:cs="Arial"/>
          <w:b/>
          <w:sz w:val="18"/>
          <w:szCs w:val="18"/>
        </w:rPr>
        <w:t>PATIENT name on the prescription matche</w:t>
      </w:r>
      <w:r w:rsidR="00F57C37">
        <w:rPr>
          <w:rFonts w:ascii="Arial" w:hAnsi="Arial" w:cs="Arial"/>
          <w:b/>
          <w:sz w:val="18"/>
          <w:szCs w:val="18"/>
        </w:rPr>
        <w:t xml:space="preserve">s the patient’s Medicaid card. </w:t>
      </w:r>
      <w:r w:rsidRPr="00464DAF">
        <w:rPr>
          <w:rFonts w:ascii="Arial" w:hAnsi="Arial" w:cs="Arial"/>
          <w:b/>
          <w:sz w:val="18"/>
          <w:szCs w:val="18"/>
        </w:rPr>
        <w:t xml:space="preserve">Pharmacy providers are encouraged to request the patient’s Medicaid card to verify </w:t>
      </w:r>
      <w:r w:rsidR="00667741">
        <w:rPr>
          <w:rFonts w:ascii="Arial" w:hAnsi="Arial" w:cs="Arial"/>
          <w:b/>
          <w:sz w:val="18"/>
          <w:szCs w:val="18"/>
        </w:rPr>
        <w:t>patient name and date of birth.</w:t>
      </w:r>
    </w:p>
    <w:p w:rsidR="006025CC" w:rsidRPr="00464DAF" w:rsidRDefault="006025CC" w:rsidP="006025CC">
      <w:pPr>
        <w:pStyle w:val="ListParagraph"/>
        <w:ind w:left="360"/>
        <w:rPr>
          <w:rFonts w:ascii="Arial" w:hAnsi="Arial" w:cs="Arial"/>
          <w:iCs/>
          <w:sz w:val="18"/>
          <w:szCs w:val="18"/>
        </w:rPr>
      </w:pPr>
    </w:p>
    <w:p w:rsidR="00227AD3" w:rsidRPr="00B270E8" w:rsidRDefault="00227AD3" w:rsidP="00446878">
      <w:pPr>
        <w:pStyle w:val="ListParagraph"/>
        <w:numPr>
          <w:ilvl w:val="0"/>
          <w:numId w:val="7"/>
        </w:numPr>
        <w:rPr>
          <w:rFonts w:ascii="Arial" w:hAnsi="Arial" w:cs="Arial"/>
          <w:iCs/>
          <w:sz w:val="18"/>
          <w:szCs w:val="18"/>
        </w:rPr>
      </w:pPr>
      <w:r w:rsidRPr="00B270E8">
        <w:rPr>
          <w:rFonts w:ascii="Arial" w:hAnsi="Arial" w:cs="Arial"/>
          <w:i/>
          <w:iCs/>
          <w:sz w:val="18"/>
          <w:szCs w:val="18"/>
          <w:u w:val="single"/>
        </w:rPr>
        <w:t>EMERGENCY OVERRIDE</w:t>
      </w:r>
      <w:r w:rsidRPr="00B270E8">
        <w:rPr>
          <w:rFonts w:ascii="Arial" w:hAnsi="Arial" w:cs="Arial"/>
          <w:iCs/>
          <w:sz w:val="18"/>
          <w:szCs w:val="18"/>
        </w:rPr>
        <w:t xml:space="preserve">: In an emergency, for those drugs for which a five-day supply can be dispensed, a pharmacy may dispense up to a five-day supply of a drug that requires clinical criteria or is non-preferred. </w:t>
      </w:r>
      <w:r w:rsidRPr="00B270E8">
        <w:rPr>
          <w:rFonts w:ascii="Arial" w:hAnsi="Arial" w:cs="Arial"/>
          <w:i/>
          <w:iCs/>
          <w:sz w:val="18"/>
          <w:szCs w:val="18"/>
        </w:rPr>
        <w:t xml:space="preserve">This provision applies only in an emergency situation and when the HP Enterprise Services Prescription Drug Help Desk is unavailable, Evidence Based Prescription Drug Program Help Desk is unavailable, and the pharmacist is not able to contact the prescribing physician. </w:t>
      </w:r>
      <w:r w:rsidRPr="00B270E8">
        <w:rPr>
          <w:rFonts w:ascii="Arial" w:hAnsi="Arial" w:cs="Arial"/>
          <w:iCs/>
          <w:sz w:val="18"/>
          <w:szCs w:val="18"/>
          <w:u w:val="single"/>
        </w:rPr>
        <w:t>To file a claim using this emergency provision, the pharmacy provider will submit a “03” in the Level of Service (418-DI) field.</w:t>
      </w:r>
      <w:r w:rsidRPr="00B270E8">
        <w:rPr>
          <w:rFonts w:ascii="Arial" w:hAnsi="Arial" w:cs="Arial"/>
          <w:iCs/>
          <w:sz w:val="18"/>
          <w:szCs w:val="18"/>
        </w:rPr>
        <w:t xml:space="preserve"> Frequency of the emergency override is limited to once per year per class</w:t>
      </w:r>
      <w:r w:rsidR="00C47AF6">
        <w:rPr>
          <w:rFonts w:ascii="Arial" w:hAnsi="Arial" w:cs="Arial"/>
          <w:iCs/>
          <w:sz w:val="18"/>
          <w:szCs w:val="18"/>
        </w:rPr>
        <w:t xml:space="preserve"> of drugs</w:t>
      </w:r>
      <w:r w:rsidRPr="00B270E8">
        <w:rPr>
          <w:rFonts w:ascii="Arial" w:hAnsi="Arial" w:cs="Arial"/>
          <w:iCs/>
          <w:sz w:val="18"/>
          <w:szCs w:val="18"/>
        </w:rPr>
        <w:t xml:space="preserve"> for non-LTC beneficiaries and once per 60 days per class for LTC beneficiaries. For any Schedule-II controlled substance filled using the Medicaid Emergency Override process, please refer to the Arkansas State Board of Pharmacy regulations regarding partial fill of a Sc</w:t>
      </w:r>
      <w:r w:rsidR="00667741">
        <w:rPr>
          <w:rFonts w:ascii="Arial" w:hAnsi="Arial" w:cs="Arial"/>
          <w:iCs/>
          <w:sz w:val="18"/>
          <w:szCs w:val="18"/>
        </w:rPr>
        <w:t>hedule-II controlled substance.</w:t>
      </w:r>
    </w:p>
    <w:p w:rsidR="00227AD3" w:rsidRPr="00464DAF" w:rsidRDefault="00227AD3" w:rsidP="00227AD3">
      <w:pPr>
        <w:pStyle w:val="ListParagraph"/>
        <w:ind w:left="360"/>
        <w:rPr>
          <w:rFonts w:ascii="Arial" w:hAnsi="Arial" w:cs="Arial"/>
          <w:iCs/>
          <w:sz w:val="20"/>
          <w:szCs w:val="20"/>
        </w:rPr>
      </w:pPr>
    </w:p>
    <w:p w:rsidR="00227AD3" w:rsidRPr="00464DAF" w:rsidRDefault="00227AD3" w:rsidP="00446878">
      <w:pPr>
        <w:pStyle w:val="ListParagraph"/>
        <w:numPr>
          <w:ilvl w:val="0"/>
          <w:numId w:val="7"/>
        </w:numPr>
        <w:rPr>
          <w:rFonts w:ascii="Arial" w:hAnsi="Arial" w:cs="Arial"/>
          <w:sz w:val="18"/>
          <w:szCs w:val="18"/>
        </w:rPr>
      </w:pPr>
      <w:r w:rsidRPr="00464DAF">
        <w:rPr>
          <w:rFonts w:ascii="Arial" w:hAnsi="Arial" w:cs="Arial"/>
          <w:sz w:val="18"/>
          <w:szCs w:val="18"/>
        </w:rPr>
        <w:t xml:space="preserve">Any reimbursement rates stated in this memorandum (or any previous memorandums) are for </w:t>
      </w:r>
      <w:r w:rsidRPr="00464DAF">
        <w:rPr>
          <w:rFonts w:ascii="Arial" w:hAnsi="Arial" w:cs="Arial"/>
          <w:b/>
          <w:sz w:val="18"/>
          <w:szCs w:val="18"/>
          <w:u w:val="single"/>
        </w:rPr>
        <w:t>REFERENCE PURPOSES ONLY AND SUBJECT TO CHANGE</w:t>
      </w:r>
      <w:r w:rsidR="00C47AF6">
        <w:rPr>
          <w:rFonts w:ascii="Arial" w:hAnsi="Arial" w:cs="Arial"/>
          <w:b/>
          <w:sz w:val="18"/>
          <w:szCs w:val="18"/>
          <w:u w:val="single"/>
        </w:rPr>
        <w:t>,</w:t>
      </w:r>
      <w:r w:rsidRPr="00464DAF">
        <w:rPr>
          <w:rFonts w:ascii="Arial" w:hAnsi="Arial" w:cs="Arial"/>
          <w:sz w:val="18"/>
          <w:szCs w:val="18"/>
        </w:rPr>
        <w:t xml:space="preserve"> and are in no way </w:t>
      </w:r>
      <w:r w:rsidR="00990859" w:rsidRPr="00464DAF">
        <w:rPr>
          <w:rFonts w:ascii="Arial" w:hAnsi="Arial" w:cs="Arial"/>
          <w:sz w:val="18"/>
          <w:szCs w:val="18"/>
        </w:rPr>
        <w:t>a</w:t>
      </w:r>
      <w:r w:rsidRPr="00464DAF">
        <w:rPr>
          <w:rFonts w:ascii="Arial" w:hAnsi="Arial" w:cs="Arial"/>
          <w:sz w:val="18"/>
          <w:szCs w:val="18"/>
        </w:rPr>
        <w:t xml:space="preserve"> contractual obligation by Arkansas Medicaid. Current Generic Upper Limits (GUL</w:t>
      </w:r>
      <w:r w:rsidR="00990859" w:rsidRPr="00464DAF">
        <w:rPr>
          <w:rFonts w:ascii="Arial" w:hAnsi="Arial" w:cs="Arial"/>
          <w:sz w:val="18"/>
          <w:szCs w:val="18"/>
        </w:rPr>
        <w:t>)</w:t>
      </w:r>
      <w:r w:rsidRPr="00464DAF">
        <w:rPr>
          <w:rFonts w:ascii="Arial" w:hAnsi="Arial" w:cs="Arial"/>
          <w:sz w:val="18"/>
          <w:szCs w:val="18"/>
        </w:rPr>
        <w:t xml:space="preserve"> or </w:t>
      </w:r>
      <w:r w:rsidR="00990859" w:rsidRPr="00464DAF">
        <w:rPr>
          <w:rFonts w:ascii="Arial" w:hAnsi="Arial" w:cs="Arial"/>
          <w:sz w:val="18"/>
          <w:szCs w:val="18"/>
        </w:rPr>
        <w:t>Maximum Allowable Cost (</w:t>
      </w:r>
      <w:r w:rsidRPr="00464DAF">
        <w:rPr>
          <w:rFonts w:ascii="Arial" w:hAnsi="Arial" w:cs="Arial"/>
          <w:sz w:val="18"/>
          <w:szCs w:val="18"/>
        </w:rPr>
        <w:t xml:space="preserve">MAC) that have been issued at the State and </w:t>
      </w:r>
      <w:r w:rsidR="00F91FDD" w:rsidRPr="00464DAF">
        <w:rPr>
          <w:rFonts w:ascii="Arial" w:hAnsi="Arial" w:cs="Arial"/>
          <w:sz w:val="18"/>
          <w:szCs w:val="18"/>
        </w:rPr>
        <w:t xml:space="preserve">or </w:t>
      </w:r>
      <w:r w:rsidRPr="00464DAF">
        <w:rPr>
          <w:rFonts w:ascii="Arial" w:hAnsi="Arial" w:cs="Arial"/>
          <w:sz w:val="18"/>
          <w:szCs w:val="18"/>
        </w:rPr>
        <w:t xml:space="preserve">Federal level, along with State issued Capped Upper Limits (CAP), can be found on the Arkansas Medicaid website: </w:t>
      </w:r>
      <w:hyperlink r:id="rId17" w:history="1">
        <w:r w:rsidRPr="00464DAF">
          <w:rPr>
            <w:rFonts w:ascii="Arial" w:hAnsi="Arial" w:cs="Arial"/>
            <w:sz w:val="18"/>
            <w:szCs w:val="18"/>
            <w:u w:val="single"/>
          </w:rPr>
          <w:t>www.medicaid.state.ar.us</w:t>
        </w:r>
      </w:hyperlink>
      <w:r w:rsidRPr="00464DAF">
        <w:rPr>
          <w:rFonts w:ascii="Arial" w:hAnsi="Arial" w:cs="Arial"/>
          <w:sz w:val="18"/>
          <w:szCs w:val="18"/>
          <w:u w:val="single"/>
        </w:rPr>
        <w:t>.</w:t>
      </w:r>
      <w:r w:rsidRPr="00464DAF">
        <w:rPr>
          <w:rFonts w:ascii="Arial" w:hAnsi="Arial" w:cs="Arial"/>
          <w:sz w:val="18"/>
          <w:szCs w:val="18"/>
        </w:rPr>
        <w:t xml:space="preserve"> </w:t>
      </w:r>
      <w:r w:rsidRPr="00464DAF">
        <w:rPr>
          <w:rFonts w:ascii="Arial" w:hAnsi="Arial" w:cs="Arial"/>
          <w:i/>
          <w:sz w:val="18"/>
          <w:szCs w:val="18"/>
        </w:rPr>
        <w:t>EAC is Estimated Acquisition Cost</w:t>
      </w:r>
      <w:r w:rsidRPr="00464DAF">
        <w:rPr>
          <w:rFonts w:ascii="Arial" w:hAnsi="Arial" w:cs="Arial"/>
          <w:sz w:val="18"/>
          <w:szCs w:val="18"/>
        </w:rPr>
        <w:t xml:space="preserve"> and, in the absence of a federal or state</w:t>
      </w:r>
      <w:r w:rsidR="00F91FDD" w:rsidRPr="00464DAF">
        <w:rPr>
          <w:rFonts w:ascii="Arial" w:hAnsi="Arial" w:cs="Arial"/>
          <w:sz w:val="18"/>
          <w:szCs w:val="18"/>
        </w:rPr>
        <w:t xml:space="preserve"> GUL or</w:t>
      </w:r>
      <w:r w:rsidRPr="00464DAF">
        <w:rPr>
          <w:rFonts w:ascii="Arial" w:hAnsi="Arial" w:cs="Arial"/>
          <w:sz w:val="18"/>
          <w:szCs w:val="18"/>
        </w:rPr>
        <w:t xml:space="preserve"> MAC, this reimbursement methodology is calculated using AWP-14% for brand agents </w:t>
      </w:r>
      <w:r w:rsidR="00C47AF6">
        <w:rPr>
          <w:rFonts w:ascii="Arial" w:hAnsi="Arial" w:cs="Arial"/>
          <w:sz w:val="18"/>
          <w:szCs w:val="18"/>
        </w:rPr>
        <w:t>and</w:t>
      </w:r>
      <w:r w:rsidR="00667741">
        <w:rPr>
          <w:rFonts w:ascii="Arial" w:hAnsi="Arial" w:cs="Arial"/>
          <w:sz w:val="18"/>
          <w:szCs w:val="18"/>
        </w:rPr>
        <w:t xml:space="preserve"> AWP-20% for generic agents.</w:t>
      </w:r>
    </w:p>
    <w:p w:rsidR="00227AD3" w:rsidRPr="00464DAF" w:rsidRDefault="00227AD3" w:rsidP="00227AD3">
      <w:pPr>
        <w:pStyle w:val="ListParagraph"/>
        <w:tabs>
          <w:tab w:val="left" w:pos="1485"/>
        </w:tabs>
        <w:ind w:left="360"/>
        <w:rPr>
          <w:rFonts w:ascii="Arial" w:hAnsi="Arial" w:cs="Arial"/>
          <w:b/>
          <w:sz w:val="20"/>
          <w:szCs w:val="20"/>
        </w:rPr>
      </w:pPr>
    </w:p>
    <w:p w:rsidR="00227AD3" w:rsidRPr="00464DAF" w:rsidRDefault="009E699E" w:rsidP="00446878">
      <w:pPr>
        <w:pStyle w:val="ListParagraph"/>
        <w:numPr>
          <w:ilvl w:val="0"/>
          <w:numId w:val="7"/>
        </w:numPr>
        <w:rPr>
          <w:rFonts w:ascii="Arial" w:hAnsi="Arial" w:cs="Arial"/>
          <w:sz w:val="18"/>
          <w:szCs w:val="18"/>
        </w:rPr>
      </w:pPr>
      <w:r w:rsidRPr="00464DAF">
        <w:rPr>
          <w:rFonts w:ascii="Arial" w:hAnsi="Arial" w:cs="Arial"/>
          <w:sz w:val="18"/>
          <w:szCs w:val="18"/>
        </w:rPr>
        <w:t xml:space="preserve">Manual Review PA requests and </w:t>
      </w:r>
      <w:r w:rsidR="00227AD3" w:rsidRPr="00464DAF">
        <w:rPr>
          <w:rFonts w:ascii="Arial" w:hAnsi="Arial" w:cs="Arial"/>
          <w:sz w:val="18"/>
          <w:szCs w:val="18"/>
        </w:rPr>
        <w:t xml:space="preserve">Exceptions to established criteria are reviewed on a case-by-case basis. Prescribers must provide written documentation to substantiate the medical </w:t>
      </w:r>
      <w:r w:rsidR="00667741">
        <w:rPr>
          <w:rFonts w:ascii="Arial" w:hAnsi="Arial" w:cs="Arial"/>
          <w:sz w:val="18"/>
          <w:szCs w:val="18"/>
        </w:rPr>
        <w:t>necessity of the request.</w:t>
      </w:r>
    </w:p>
    <w:p w:rsidR="00227AD3" w:rsidRPr="00464DAF" w:rsidRDefault="00227AD3" w:rsidP="00227AD3">
      <w:pPr>
        <w:pStyle w:val="ListParagraph"/>
        <w:ind w:left="360"/>
        <w:rPr>
          <w:rFonts w:ascii="Arial" w:hAnsi="Arial" w:cs="Arial"/>
          <w:b/>
          <w:sz w:val="22"/>
          <w:szCs w:val="22"/>
          <w:u w:val="single"/>
        </w:rPr>
      </w:pPr>
    </w:p>
    <w:p w:rsidR="00227AD3" w:rsidRPr="00464DAF" w:rsidRDefault="00227AD3" w:rsidP="00446878">
      <w:pPr>
        <w:numPr>
          <w:ilvl w:val="0"/>
          <w:numId w:val="7"/>
        </w:numPr>
        <w:rPr>
          <w:rFonts w:ascii="Arial" w:hAnsi="Arial" w:cs="Arial"/>
          <w:sz w:val="18"/>
          <w:szCs w:val="18"/>
        </w:rPr>
      </w:pPr>
      <w:r w:rsidRPr="00464DAF">
        <w:rPr>
          <w:rFonts w:ascii="Arial" w:hAnsi="Arial" w:cs="Arial"/>
          <w:b/>
          <w:sz w:val="18"/>
          <w:szCs w:val="18"/>
          <w:u w:val="single"/>
        </w:rPr>
        <w:t>FOR ALL PDL DRUGS OR FOR REQUESTS FOR ANTIPSYCHOTIC DRUGS</w:t>
      </w:r>
      <w:r w:rsidRPr="00464DAF">
        <w:rPr>
          <w:rFonts w:ascii="Arial" w:hAnsi="Arial" w:cs="Arial"/>
          <w:b/>
          <w:sz w:val="18"/>
          <w:szCs w:val="18"/>
        </w:rPr>
        <w:t>:</w:t>
      </w:r>
      <w:r w:rsidRPr="00464DAF">
        <w:rPr>
          <w:rFonts w:ascii="Arial" w:hAnsi="Arial" w:cs="Arial"/>
          <w:sz w:val="18"/>
          <w:szCs w:val="18"/>
        </w:rPr>
        <w:t xml:space="preserve"> </w:t>
      </w:r>
      <w:r w:rsidR="00830A5C">
        <w:rPr>
          <w:rFonts w:ascii="Arial" w:hAnsi="Arial" w:cs="Arial"/>
          <w:sz w:val="18"/>
          <w:szCs w:val="18"/>
        </w:rPr>
        <w:t>P</w:t>
      </w:r>
      <w:r w:rsidRPr="00464DAF">
        <w:rPr>
          <w:rFonts w:ascii="Arial" w:hAnsi="Arial" w:cs="Arial"/>
          <w:sz w:val="18"/>
          <w:szCs w:val="18"/>
        </w:rPr>
        <w:t xml:space="preserve">roviders requesting a Prior Authorization (PA) for a drug on the PDL or requesting a Prior Authorization (PA) for an antipsychotic medication should contact the </w:t>
      </w:r>
      <w:r w:rsidRPr="00464DAF">
        <w:rPr>
          <w:rFonts w:ascii="Arial" w:hAnsi="Arial" w:cs="Arial"/>
          <w:b/>
          <w:sz w:val="18"/>
          <w:szCs w:val="18"/>
        </w:rPr>
        <w:t xml:space="preserve">Evidence-based Prescription Drug Program </w:t>
      </w:r>
      <w:r w:rsidR="009E699E" w:rsidRPr="00464DAF">
        <w:rPr>
          <w:rFonts w:ascii="Arial" w:hAnsi="Arial" w:cs="Arial"/>
          <w:b/>
          <w:sz w:val="18"/>
          <w:szCs w:val="18"/>
        </w:rPr>
        <w:t xml:space="preserve">(EBRx) </w:t>
      </w:r>
      <w:r w:rsidRPr="00464DAF">
        <w:rPr>
          <w:rFonts w:ascii="Arial" w:hAnsi="Arial" w:cs="Arial"/>
          <w:b/>
          <w:sz w:val="18"/>
          <w:szCs w:val="18"/>
        </w:rPr>
        <w:t>PA Call Center Toll Free 1-866-250-2518 or Local 501-526-4200 or Fax 501-526-4188.</w:t>
      </w:r>
      <w:r w:rsidRPr="00464DAF">
        <w:rPr>
          <w:rFonts w:ascii="Arial" w:hAnsi="Arial" w:cs="Arial"/>
          <w:sz w:val="18"/>
          <w:szCs w:val="18"/>
        </w:rPr>
        <w:t xml:space="preserve"> Please include any supporting documentation for the </w:t>
      </w:r>
      <w:r w:rsidRPr="00464DAF">
        <w:rPr>
          <w:rFonts w:ascii="Arial" w:hAnsi="Arial" w:cs="Arial"/>
          <w:sz w:val="18"/>
          <w:szCs w:val="18"/>
        </w:rPr>
        <w:lastRenderedPageBreak/>
        <w:t>request with the fax, and include recipient ID number, recipient name, and Medicaid Provider ID with your request.</w:t>
      </w:r>
    </w:p>
    <w:p w:rsidR="00227AD3" w:rsidRPr="00464DAF" w:rsidRDefault="00227AD3" w:rsidP="00227AD3">
      <w:pPr>
        <w:ind w:left="720"/>
        <w:rPr>
          <w:rFonts w:ascii="Arial" w:hAnsi="Arial" w:cs="Arial"/>
          <w:sz w:val="18"/>
          <w:szCs w:val="18"/>
        </w:rPr>
      </w:pPr>
    </w:p>
    <w:p w:rsidR="00227AD3" w:rsidRDefault="00227AD3" w:rsidP="00446878">
      <w:pPr>
        <w:numPr>
          <w:ilvl w:val="0"/>
          <w:numId w:val="7"/>
        </w:numPr>
        <w:rPr>
          <w:rFonts w:ascii="Arial" w:hAnsi="Arial" w:cs="Arial"/>
          <w:sz w:val="18"/>
          <w:szCs w:val="18"/>
        </w:rPr>
      </w:pPr>
      <w:r w:rsidRPr="00464DAF">
        <w:rPr>
          <w:rFonts w:ascii="Arial" w:hAnsi="Arial" w:cs="Arial"/>
          <w:b/>
          <w:sz w:val="18"/>
          <w:szCs w:val="18"/>
          <w:u w:val="single"/>
        </w:rPr>
        <w:t>FOR NON-PDL AND NON-ANTIPYSCHOTIC DRUG REQUESTS</w:t>
      </w:r>
      <w:r w:rsidRPr="00464DAF">
        <w:rPr>
          <w:rFonts w:ascii="Arial" w:hAnsi="Arial" w:cs="Arial"/>
          <w:b/>
          <w:sz w:val="18"/>
          <w:szCs w:val="18"/>
        </w:rPr>
        <w:t>:</w:t>
      </w:r>
      <w:r w:rsidRPr="00464DAF">
        <w:rPr>
          <w:rFonts w:ascii="Arial" w:hAnsi="Arial" w:cs="Arial"/>
          <w:sz w:val="18"/>
          <w:szCs w:val="18"/>
        </w:rPr>
        <w:t xml:space="preserve"> </w:t>
      </w:r>
      <w:r w:rsidR="00830A5C">
        <w:rPr>
          <w:rFonts w:ascii="Arial" w:hAnsi="Arial" w:cs="Arial"/>
          <w:sz w:val="18"/>
          <w:szCs w:val="18"/>
        </w:rPr>
        <w:t>P</w:t>
      </w:r>
      <w:r w:rsidRPr="00464DAF">
        <w:rPr>
          <w:rFonts w:ascii="Arial" w:hAnsi="Arial" w:cs="Arial"/>
          <w:sz w:val="18"/>
          <w:szCs w:val="18"/>
        </w:rPr>
        <w:t xml:space="preserve">roviders requesting a Prior Authorization (PA) should call the </w:t>
      </w:r>
      <w:r w:rsidRPr="00464DAF">
        <w:rPr>
          <w:rFonts w:ascii="Arial" w:hAnsi="Arial" w:cs="Arial"/>
          <w:b/>
          <w:bCs/>
          <w:sz w:val="18"/>
          <w:szCs w:val="18"/>
        </w:rPr>
        <w:t xml:space="preserve">HP </w:t>
      </w:r>
      <w:r w:rsidRPr="00464DAF">
        <w:rPr>
          <w:rFonts w:ascii="Arial" w:hAnsi="Arial" w:cs="Arial"/>
          <w:b/>
          <w:sz w:val="18"/>
          <w:szCs w:val="18"/>
        </w:rPr>
        <w:t>Prescription Drug Help Desk at 1-800-707-3854 or at 1-501-374-6609, extension 500.</w:t>
      </w:r>
      <w:r w:rsidRPr="00464DAF">
        <w:rPr>
          <w:rFonts w:ascii="Arial" w:hAnsi="Arial" w:cs="Arial"/>
          <w:sz w:val="18"/>
          <w:szCs w:val="18"/>
        </w:rPr>
        <w:t xml:space="preserve"> For Prior Authorization (PA) requests requiring manual review, you may fax your request to the </w:t>
      </w:r>
      <w:r w:rsidRPr="00464DAF">
        <w:rPr>
          <w:rFonts w:ascii="Arial" w:hAnsi="Arial" w:cs="Arial"/>
          <w:b/>
          <w:bCs/>
          <w:sz w:val="18"/>
          <w:szCs w:val="18"/>
        </w:rPr>
        <w:t xml:space="preserve">HP </w:t>
      </w:r>
      <w:r w:rsidR="00830A5C">
        <w:rPr>
          <w:rFonts w:ascii="Arial" w:hAnsi="Arial" w:cs="Arial"/>
          <w:b/>
          <w:bCs/>
          <w:sz w:val="18"/>
          <w:szCs w:val="18"/>
        </w:rPr>
        <w:t>H</w:t>
      </w:r>
      <w:r w:rsidRPr="00464DAF">
        <w:rPr>
          <w:rFonts w:ascii="Arial" w:hAnsi="Arial" w:cs="Arial"/>
          <w:b/>
          <w:sz w:val="18"/>
          <w:szCs w:val="18"/>
        </w:rPr>
        <w:t xml:space="preserve">elp </w:t>
      </w:r>
      <w:r w:rsidR="00830A5C">
        <w:rPr>
          <w:rFonts w:ascii="Arial" w:hAnsi="Arial" w:cs="Arial"/>
          <w:b/>
          <w:sz w:val="18"/>
          <w:szCs w:val="18"/>
        </w:rPr>
        <w:t>D</w:t>
      </w:r>
      <w:r w:rsidRPr="00464DAF">
        <w:rPr>
          <w:rFonts w:ascii="Arial" w:hAnsi="Arial" w:cs="Arial"/>
          <w:b/>
          <w:sz w:val="18"/>
          <w:szCs w:val="18"/>
        </w:rPr>
        <w:t>esk Fax at 501-372-2971 or to the state office Fax at 501-683-4124.</w:t>
      </w:r>
      <w:r w:rsidRPr="00464DAF">
        <w:rPr>
          <w:rFonts w:ascii="Arial" w:hAnsi="Arial" w:cs="Arial"/>
          <w:sz w:val="18"/>
          <w:szCs w:val="18"/>
        </w:rPr>
        <w:t xml:space="preserve"> Please include any supporting documentation for the request with the fax, and include recipient ID number, recipient name, and Medicaid provider ID with your request. An approval, denial, or request for additional information will be returned by the close of business the following business day.</w:t>
      </w:r>
    </w:p>
    <w:p w:rsidR="00386E4E" w:rsidRDefault="00386E4E" w:rsidP="00386E4E">
      <w:pPr>
        <w:pStyle w:val="ListParagraph"/>
        <w:rPr>
          <w:rFonts w:ascii="Arial" w:hAnsi="Arial" w:cs="Arial"/>
          <w:sz w:val="18"/>
          <w:szCs w:val="18"/>
        </w:rPr>
      </w:pPr>
    </w:p>
    <w:p w:rsidR="00001ADB" w:rsidRPr="00455853" w:rsidRDefault="00001ADB" w:rsidP="00446878">
      <w:pPr>
        <w:pStyle w:val="ListParagraph"/>
        <w:numPr>
          <w:ilvl w:val="0"/>
          <w:numId w:val="7"/>
        </w:numPr>
        <w:rPr>
          <w:rFonts w:ascii="Arial" w:hAnsi="Arial" w:cs="Arial"/>
          <w:sz w:val="18"/>
          <w:szCs w:val="18"/>
        </w:rPr>
      </w:pPr>
      <w:r w:rsidRPr="00455853">
        <w:rPr>
          <w:rFonts w:ascii="Arial" w:hAnsi="Arial" w:cs="Arial"/>
          <w:b/>
          <w:sz w:val="18"/>
          <w:szCs w:val="18"/>
        </w:rPr>
        <w:t>The Antenatal &amp; Neonatal Guidelines, Education and Learning System (ANGELS) program has developed a Pediatric Guideline for Strong-Willed Preschoolers (Young Children’s Strong-willed /Noncompliant/ Disruptive Behavior)</w:t>
      </w:r>
      <w:r w:rsidRPr="00455853">
        <w:rPr>
          <w:rFonts w:ascii="Arial" w:hAnsi="Arial" w:cs="Arial"/>
          <w:sz w:val="18"/>
          <w:szCs w:val="18"/>
        </w:rPr>
        <w:t xml:space="preserve"> that has bee</w:t>
      </w:r>
      <w:r w:rsidR="00667741">
        <w:rPr>
          <w:rFonts w:ascii="Arial" w:hAnsi="Arial" w:cs="Arial"/>
          <w:sz w:val="18"/>
          <w:szCs w:val="18"/>
        </w:rPr>
        <w:t xml:space="preserve">n peer reviewed and finalized. </w:t>
      </w:r>
      <w:r w:rsidRPr="00455853">
        <w:rPr>
          <w:rFonts w:ascii="Arial" w:hAnsi="Arial" w:cs="Arial"/>
          <w:sz w:val="18"/>
          <w:szCs w:val="18"/>
        </w:rPr>
        <w:t>The guideline covers the problems, etiology, and prevalence of children who have disruptive behavior problems or Oppositional Defiant Disorder (ODD).  The guideline indicates that early intervention is important to effectively address disruptive behavior problems and prevent escalation of the problem into the sc</w:t>
      </w:r>
      <w:r w:rsidR="00667741">
        <w:rPr>
          <w:rFonts w:ascii="Arial" w:hAnsi="Arial" w:cs="Arial"/>
          <w:sz w:val="18"/>
          <w:szCs w:val="18"/>
        </w:rPr>
        <w:t xml:space="preserve">hool-aged years. </w:t>
      </w:r>
      <w:r w:rsidRPr="00455853">
        <w:rPr>
          <w:rFonts w:ascii="Arial" w:hAnsi="Arial" w:cs="Arial"/>
          <w:sz w:val="18"/>
          <w:szCs w:val="18"/>
        </w:rPr>
        <w:t>The guideline points out that no medications are indicated for the treatment of</w:t>
      </w:r>
      <w:r w:rsidR="00667741">
        <w:rPr>
          <w:rFonts w:ascii="Arial" w:hAnsi="Arial" w:cs="Arial"/>
          <w:sz w:val="18"/>
          <w:szCs w:val="18"/>
        </w:rPr>
        <w:t xml:space="preserve"> disruptive behavior disorders.</w:t>
      </w:r>
      <w:r w:rsidRPr="00455853">
        <w:rPr>
          <w:rFonts w:ascii="Arial" w:hAnsi="Arial" w:cs="Arial"/>
          <w:sz w:val="18"/>
          <w:szCs w:val="18"/>
        </w:rPr>
        <w:t xml:space="preserve"> The most thoroughly researched and validated type of interventions to treat young children’s disruptive behavior are often collectively referred to as Parent Management Training (PMT), Behavioral Parent Training (BPT), or sometimes just as Parent Training (PT).</w:t>
      </w:r>
      <w:r>
        <w:rPr>
          <w:rFonts w:ascii="Arial" w:hAnsi="Arial" w:cs="Arial"/>
          <w:sz w:val="18"/>
          <w:szCs w:val="18"/>
        </w:rPr>
        <w:t xml:space="preserve">  </w:t>
      </w:r>
      <w:r w:rsidRPr="00455853">
        <w:rPr>
          <w:rFonts w:ascii="Arial" w:hAnsi="Arial" w:cs="Arial"/>
          <w:sz w:val="18"/>
          <w:szCs w:val="18"/>
        </w:rPr>
        <w:t>PMT</w:t>
      </w:r>
      <w:r>
        <w:rPr>
          <w:rFonts w:ascii="Arial" w:hAnsi="Arial" w:cs="Arial"/>
          <w:sz w:val="18"/>
          <w:szCs w:val="18"/>
        </w:rPr>
        <w:t xml:space="preserve"> </w:t>
      </w:r>
      <w:r w:rsidRPr="00455853">
        <w:rPr>
          <w:rFonts w:ascii="Arial" w:hAnsi="Arial" w:cs="Arial"/>
          <w:sz w:val="18"/>
          <w:szCs w:val="18"/>
        </w:rPr>
        <w:t>approaches typically involve working with both the parent and child, teaching parents specific parenting skills to improve the parent-child relationship, improve compliance, and</w:t>
      </w:r>
      <w:r w:rsidR="00667741">
        <w:rPr>
          <w:rFonts w:ascii="Arial" w:hAnsi="Arial" w:cs="Arial"/>
          <w:sz w:val="18"/>
          <w:szCs w:val="18"/>
        </w:rPr>
        <w:t xml:space="preserve"> decrease disruptive behavior. </w:t>
      </w:r>
      <w:r w:rsidRPr="00455853">
        <w:rPr>
          <w:rFonts w:ascii="Arial" w:hAnsi="Arial" w:cs="Arial"/>
          <w:sz w:val="18"/>
          <w:szCs w:val="18"/>
        </w:rPr>
        <w:t>The complete guideline is available at this link:</w:t>
      </w:r>
      <w:r w:rsidRPr="00455853">
        <w:t xml:space="preserve"> </w:t>
      </w:r>
      <w:r w:rsidR="00AA40D6" w:rsidRPr="00667741">
        <w:rPr>
          <w:rFonts w:ascii="Arial" w:hAnsi="Arial" w:cs="Arial"/>
          <w:sz w:val="18"/>
          <w:szCs w:val="18"/>
        </w:rPr>
        <w:fldChar w:fldCharType="begin"/>
      </w:r>
      <w:r w:rsidR="00AA40D6" w:rsidRPr="00667741">
        <w:rPr>
          <w:rFonts w:ascii="Arial" w:hAnsi="Arial" w:cs="Arial"/>
          <w:sz w:val="18"/>
          <w:szCs w:val="18"/>
        </w:rPr>
        <w:instrText xml:space="preserve"> HYPERLINK "http://www.uams.edu/cdh1/peds_guidelines.aspx" </w:instrText>
      </w:r>
      <w:r w:rsidR="00AA40D6" w:rsidRPr="00667741">
        <w:rPr>
          <w:rFonts w:ascii="Arial" w:hAnsi="Arial" w:cs="Arial"/>
          <w:sz w:val="18"/>
          <w:szCs w:val="18"/>
        </w:rPr>
        <w:fldChar w:fldCharType="separate"/>
      </w:r>
      <w:r w:rsidRPr="00667741">
        <w:rPr>
          <w:rStyle w:val="Hyperlink"/>
          <w:rFonts w:ascii="Arial" w:hAnsi="Arial" w:cs="Arial"/>
          <w:sz w:val="18"/>
          <w:szCs w:val="18"/>
        </w:rPr>
        <w:t>http://www.uams.edu/cdh1/peds_guidelines.aspx</w:t>
      </w:r>
      <w:r w:rsidR="00AA40D6" w:rsidRPr="00667741">
        <w:rPr>
          <w:rStyle w:val="Hyperlink"/>
          <w:rFonts w:ascii="Arial" w:hAnsi="Arial" w:cs="Arial"/>
          <w:sz w:val="18"/>
          <w:szCs w:val="18"/>
        </w:rPr>
        <w:fldChar w:fldCharType="end"/>
      </w:r>
      <w:r w:rsidR="00667741">
        <w:rPr>
          <w:sz w:val="18"/>
          <w:szCs w:val="18"/>
        </w:rPr>
        <w:t xml:space="preserve"> </w:t>
      </w:r>
      <w:r w:rsidRPr="00667741">
        <w:rPr>
          <w:rFonts w:ascii="Arial" w:hAnsi="Arial" w:cs="Arial"/>
          <w:sz w:val="18"/>
          <w:szCs w:val="18"/>
        </w:rPr>
        <w:t>Providers are asked to create a user name and password to log in to view any of the available pedia</w:t>
      </w:r>
      <w:r w:rsidR="00667741" w:rsidRPr="00667741">
        <w:rPr>
          <w:rFonts w:ascii="Arial" w:hAnsi="Arial" w:cs="Arial"/>
          <w:sz w:val="18"/>
          <w:szCs w:val="18"/>
        </w:rPr>
        <w:t>tric guidelines on the website.</w:t>
      </w:r>
    </w:p>
    <w:p w:rsidR="00386E4E" w:rsidRPr="00464DAF" w:rsidRDefault="00386E4E" w:rsidP="00386E4E">
      <w:pPr>
        <w:ind w:left="360"/>
        <w:rPr>
          <w:rFonts w:ascii="Arial" w:hAnsi="Arial" w:cs="Arial"/>
          <w:sz w:val="18"/>
          <w:szCs w:val="18"/>
        </w:rPr>
      </w:pPr>
    </w:p>
    <w:p w:rsidR="00227AD3" w:rsidRPr="00464DAF" w:rsidRDefault="00227AD3" w:rsidP="00227AD3">
      <w:pPr>
        <w:rPr>
          <w:rFonts w:ascii="Arial" w:hAnsi="Arial" w:cs="Arial"/>
          <w:sz w:val="16"/>
          <w:szCs w:val="16"/>
        </w:rPr>
      </w:pPr>
      <w:r w:rsidRPr="00464DAF">
        <w:rPr>
          <w:rFonts w:ascii="Arial" w:hAnsi="Arial" w:cs="Arial"/>
          <w:sz w:val="16"/>
          <w:szCs w:val="16"/>
        </w:rPr>
        <w:t>This advance notice is to provide you the opportunity to contact, counsel</w:t>
      </w:r>
      <w:r w:rsidR="00C47AF6">
        <w:rPr>
          <w:rFonts w:ascii="Arial" w:hAnsi="Arial" w:cs="Arial"/>
          <w:sz w:val="16"/>
          <w:szCs w:val="16"/>
        </w:rPr>
        <w:t>,</w:t>
      </w:r>
      <w:r w:rsidRPr="00464DAF">
        <w:rPr>
          <w:rFonts w:ascii="Arial" w:hAnsi="Arial" w:cs="Arial"/>
          <w:sz w:val="16"/>
          <w:szCs w:val="16"/>
        </w:rPr>
        <w:t xml:space="preserve"> and </w:t>
      </w:r>
      <w:r w:rsidR="00446878">
        <w:rPr>
          <w:rFonts w:ascii="Arial" w:hAnsi="Arial" w:cs="Arial"/>
          <w:sz w:val="16"/>
          <w:szCs w:val="16"/>
        </w:rPr>
        <w:t>change patients’ prescriptions.</w:t>
      </w:r>
    </w:p>
    <w:p w:rsidR="00227AD3" w:rsidRPr="00464DAF" w:rsidRDefault="00227AD3" w:rsidP="00227AD3">
      <w:pPr>
        <w:rPr>
          <w:rFonts w:ascii="Arial" w:hAnsi="Arial" w:cs="Arial"/>
          <w:i/>
          <w:iCs/>
          <w:sz w:val="16"/>
          <w:szCs w:val="16"/>
        </w:rPr>
      </w:pPr>
      <w:r w:rsidRPr="00464DAF">
        <w:rPr>
          <w:rFonts w:ascii="Arial" w:hAnsi="Arial" w:cs="Arial"/>
          <w:i/>
          <w:iCs/>
          <w:sz w:val="16"/>
          <w:szCs w:val="16"/>
        </w:rPr>
        <w:t>If you need this material in an alternative format, such as large print, please contact the Program Development and Quality Assurance Unit at 501-320-6429.</w:t>
      </w:r>
    </w:p>
    <w:p w:rsidR="00446878" w:rsidRDefault="00227AD3" w:rsidP="00227AD3">
      <w:pPr>
        <w:rPr>
          <w:rFonts w:ascii="Arial" w:hAnsi="Arial" w:cs="Arial"/>
          <w:i/>
          <w:iCs/>
          <w:sz w:val="16"/>
          <w:szCs w:val="16"/>
        </w:rPr>
      </w:pPr>
      <w:r w:rsidRPr="00464DAF">
        <w:rPr>
          <w:rFonts w:ascii="Arial" w:hAnsi="Arial" w:cs="Arial"/>
          <w:i/>
          <w:iCs/>
          <w:sz w:val="16"/>
          <w:szCs w:val="16"/>
        </w:rPr>
        <w:t>If you have questions regarding this transmittal, or you need this material in an alternative format, such as large print, please contact the HP ENTERPRISE SERVICES (FORMERLY CALLED EDS) Provider Assistance Center at 1</w:t>
      </w:r>
      <w:r w:rsidRPr="00464DAF">
        <w:rPr>
          <w:rFonts w:ascii="Arial" w:hAnsi="Arial" w:cs="Arial"/>
          <w:i/>
          <w:iCs/>
          <w:sz w:val="16"/>
          <w:szCs w:val="16"/>
        </w:rPr>
        <w:noBreakHyphen/>
        <w:t>800</w:t>
      </w:r>
      <w:r w:rsidRPr="00464DAF">
        <w:rPr>
          <w:rFonts w:ascii="Arial" w:hAnsi="Arial" w:cs="Arial"/>
          <w:i/>
          <w:iCs/>
          <w:sz w:val="16"/>
          <w:szCs w:val="16"/>
        </w:rPr>
        <w:noBreakHyphen/>
        <w:t>457</w:t>
      </w:r>
      <w:r w:rsidRPr="00464DAF">
        <w:rPr>
          <w:rFonts w:ascii="Arial" w:hAnsi="Arial" w:cs="Arial"/>
          <w:i/>
          <w:iCs/>
          <w:sz w:val="16"/>
          <w:szCs w:val="16"/>
        </w:rPr>
        <w:noBreakHyphen/>
        <w:t>4454 (Toll</w:t>
      </w:r>
      <w:r w:rsidRPr="00464DAF">
        <w:rPr>
          <w:rFonts w:ascii="Arial" w:hAnsi="Arial" w:cs="Arial"/>
          <w:i/>
          <w:iCs/>
          <w:sz w:val="16"/>
          <w:szCs w:val="16"/>
        </w:rPr>
        <w:noBreakHyphen/>
        <w:t>Free) within Arkansas or locally and out-of-state at (501) 376</w:t>
      </w:r>
      <w:r w:rsidRPr="00464DAF">
        <w:rPr>
          <w:rFonts w:ascii="Arial" w:hAnsi="Arial" w:cs="Arial"/>
          <w:i/>
          <w:iCs/>
          <w:sz w:val="16"/>
          <w:szCs w:val="16"/>
        </w:rPr>
        <w:noBreakHyphen/>
        <w:t xml:space="preserve">2211. Arkansas Medicaid provider manuals (including update transmittals), official notices and remittance advice (RA) messages are available for downloading from the Arkansas Medicaid website: </w:t>
      </w:r>
      <w:hyperlink r:id="rId18" w:history="1">
        <w:r w:rsidRPr="00464DAF">
          <w:rPr>
            <w:rStyle w:val="Hyperlink"/>
            <w:rFonts w:ascii="Arial" w:hAnsi="Arial" w:cs="Arial"/>
            <w:i/>
            <w:iCs/>
            <w:sz w:val="16"/>
            <w:szCs w:val="16"/>
          </w:rPr>
          <w:t>www.medicaid.state.ar.us/</w:t>
        </w:r>
      </w:hyperlink>
      <w:r w:rsidRPr="00464DAF">
        <w:rPr>
          <w:rFonts w:ascii="Arial" w:hAnsi="Arial" w:cs="Arial"/>
          <w:i/>
          <w:iCs/>
          <w:sz w:val="16"/>
          <w:szCs w:val="16"/>
        </w:rPr>
        <w:t>.</w:t>
      </w:r>
    </w:p>
    <w:p w:rsidR="00227AD3" w:rsidRPr="00464DAF" w:rsidRDefault="00446878" w:rsidP="00227AD3">
      <w:pPr>
        <w:rPr>
          <w:rFonts w:ascii="Arial" w:hAnsi="Arial" w:cs="Arial"/>
        </w:rPr>
      </w:pPr>
      <w:r>
        <w:rPr>
          <w:rFonts w:ascii="Arial" w:hAnsi="Arial" w:cs="Arial"/>
          <w:i/>
          <w:iCs/>
          <w:sz w:val="16"/>
          <w:szCs w:val="16"/>
        </w:rPr>
        <w:br w:type="page"/>
      </w:r>
      <w:r w:rsidR="00227AD3" w:rsidRPr="00464DAF">
        <w:rPr>
          <w:rFonts w:ascii="Arial" w:hAnsi="Arial" w:cs="Arial"/>
          <w:b/>
          <w:bCs/>
          <w:i/>
          <w:u w:val="single"/>
        </w:rPr>
        <w:lastRenderedPageBreak/>
        <w:t>ONGOING REMINDER FROM PREVIOUS COMMUNICATIONS:</w:t>
      </w:r>
    </w:p>
    <w:p w:rsidR="00227AD3" w:rsidRPr="00464DAF" w:rsidRDefault="00227AD3" w:rsidP="00227AD3">
      <w:pPr>
        <w:rPr>
          <w:rFonts w:ascii="Arial" w:hAnsi="Arial" w:cs="Arial"/>
        </w:rPr>
      </w:pPr>
    </w:p>
    <w:p w:rsidR="00227AD3" w:rsidRPr="00464DAF" w:rsidRDefault="00DF5E4F" w:rsidP="00227AD3">
      <w:pPr>
        <w:rPr>
          <w:rFonts w:ascii="Arial" w:hAnsi="Arial" w:cs="Arial"/>
          <w:b/>
        </w:rPr>
      </w:pPr>
      <w:r w:rsidRPr="00464DAF">
        <w:rPr>
          <w:rFonts w:ascii="Arial" w:hAnsi="Arial" w:cs="Arial"/>
          <w:b/>
        </w:rPr>
        <w:t>Prescribers are required to monitor children &lt; 18 y</w:t>
      </w:r>
      <w:r w:rsidR="00830A5C">
        <w:rPr>
          <w:rFonts w:ascii="Arial" w:hAnsi="Arial" w:cs="Arial"/>
          <w:b/>
        </w:rPr>
        <w:t>ea</w:t>
      </w:r>
      <w:r w:rsidRPr="00464DAF">
        <w:rPr>
          <w:rFonts w:ascii="Arial" w:hAnsi="Arial" w:cs="Arial"/>
          <w:b/>
        </w:rPr>
        <w:t xml:space="preserve">rs of age </w:t>
      </w:r>
      <w:r w:rsidR="00227AD3" w:rsidRPr="00464DAF">
        <w:rPr>
          <w:rFonts w:ascii="Arial" w:hAnsi="Arial" w:cs="Arial"/>
          <w:b/>
        </w:rPr>
        <w:t xml:space="preserve">for metabolic changes every 6 months on an outpatient basis </w:t>
      </w:r>
      <w:r w:rsidRPr="00464DAF">
        <w:rPr>
          <w:rFonts w:ascii="Arial" w:hAnsi="Arial" w:cs="Arial"/>
          <w:b/>
        </w:rPr>
        <w:t>when the child is receiving any</w:t>
      </w:r>
      <w:r w:rsidR="00227AD3" w:rsidRPr="00464DAF">
        <w:rPr>
          <w:rFonts w:ascii="Arial" w:hAnsi="Arial" w:cs="Arial"/>
          <w:b/>
        </w:rPr>
        <w:t xml:space="preserve"> antipsychotic agent</w:t>
      </w:r>
      <w:r w:rsidR="00667741">
        <w:rPr>
          <w:rFonts w:ascii="Arial" w:hAnsi="Arial" w:cs="Arial"/>
          <w:b/>
        </w:rPr>
        <w:t>.</w:t>
      </w:r>
    </w:p>
    <w:p w:rsidR="00227AD3" w:rsidRPr="00464DAF" w:rsidRDefault="00227AD3" w:rsidP="00227AD3">
      <w:pPr>
        <w:rPr>
          <w:rFonts w:ascii="Arial" w:hAnsi="Arial" w:cs="Arial"/>
          <w:sz w:val="20"/>
          <w:szCs w:val="20"/>
        </w:rPr>
      </w:pPr>
    </w:p>
    <w:p w:rsidR="00227AD3" w:rsidRPr="00464DAF" w:rsidRDefault="00227AD3" w:rsidP="00227AD3">
      <w:pPr>
        <w:pStyle w:val="ListParagraph"/>
        <w:ind w:left="0"/>
        <w:rPr>
          <w:rFonts w:ascii="Arial" w:hAnsi="Arial" w:cs="Arial"/>
          <w:sz w:val="18"/>
          <w:szCs w:val="18"/>
        </w:rPr>
      </w:pPr>
      <w:r w:rsidRPr="00464DAF">
        <w:rPr>
          <w:rFonts w:ascii="Arial" w:hAnsi="Arial" w:cs="Arial"/>
          <w:sz w:val="18"/>
          <w:szCs w:val="18"/>
        </w:rPr>
        <w:t xml:space="preserve">Acceptable CPT codes for the metabolic monitoring criteria are listed below </w:t>
      </w:r>
      <w:r w:rsidR="00DF5E4F" w:rsidRPr="00464DAF">
        <w:rPr>
          <w:rFonts w:ascii="Arial" w:hAnsi="Arial" w:cs="Arial"/>
          <w:sz w:val="18"/>
          <w:szCs w:val="18"/>
        </w:rPr>
        <w:t>[</w:t>
      </w:r>
      <w:r w:rsidRPr="00464DAF">
        <w:rPr>
          <w:rFonts w:ascii="Arial" w:hAnsi="Arial" w:cs="Arial"/>
          <w:sz w:val="18"/>
          <w:szCs w:val="18"/>
        </w:rPr>
        <w:t xml:space="preserve">reminder, criteria requires CPT codes monitoring for </w:t>
      </w:r>
      <w:r w:rsidRPr="00464DAF">
        <w:rPr>
          <w:rFonts w:ascii="Arial" w:hAnsi="Arial" w:cs="Arial"/>
          <w:sz w:val="18"/>
          <w:szCs w:val="18"/>
          <w:u w:val="single"/>
        </w:rPr>
        <w:t>both</w:t>
      </w:r>
      <w:r w:rsidRPr="00464DAF">
        <w:rPr>
          <w:rFonts w:ascii="Arial" w:hAnsi="Arial" w:cs="Arial"/>
          <w:sz w:val="18"/>
          <w:szCs w:val="18"/>
        </w:rPr>
        <w:t xml:space="preserve"> glucose (group-1) and lipids (group-2)</w:t>
      </w:r>
      <w:r w:rsidR="00DF5E4F" w:rsidRPr="00464DAF">
        <w:rPr>
          <w:rFonts w:ascii="Arial" w:hAnsi="Arial" w:cs="Arial"/>
          <w:sz w:val="18"/>
          <w:szCs w:val="18"/>
        </w:rPr>
        <w:t>]</w:t>
      </w:r>
      <w:r w:rsidRPr="00464DAF">
        <w:rPr>
          <w:rFonts w:ascii="Arial" w:hAnsi="Arial" w:cs="Arial"/>
          <w:sz w:val="18"/>
          <w:szCs w:val="18"/>
        </w:rPr>
        <w:t>:</w:t>
      </w:r>
    </w:p>
    <w:p w:rsidR="00227AD3" w:rsidRPr="00464DAF" w:rsidRDefault="00227AD3" w:rsidP="00227AD3">
      <w:pPr>
        <w:pStyle w:val="ListParagraph"/>
        <w:ind w:left="0"/>
        <w:rPr>
          <w:rFonts w:ascii="Arial" w:hAnsi="Arial" w:cs="Arial"/>
          <w:sz w:val="18"/>
          <w:szCs w:val="18"/>
        </w:rPr>
      </w:pPr>
    </w:p>
    <w:p w:rsidR="00227AD3" w:rsidRPr="00464DAF" w:rsidRDefault="00227AD3" w:rsidP="00227AD3">
      <w:pPr>
        <w:pStyle w:val="ListParagraph"/>
        <w:autoSpaceDE w:val="0"/>
        <w:autoSpaceDN w:val="0"/>
        <w:adjustRightInd w:val="0"/>
        <w:ind w:left="0"/>
        <w:rPr>
          <w:rFonts w:ascii="Arial" w:hAnsi="Arial" w:cs="Arial"/>
          <w:sz w:val="18"/>
          <w:szCs w:val="18"/>
        </w:rPr>
      </w:pPr>
      <w:r w:rsidRPr="00464DAF">
        <w:rPr>
          <w:rFonts w:ascii="Arial" w:hAnsi="Arial" w:cs="Arial"/>
          <w:b/>
          <w:sz w:val="18"/>
          <w:szCs w:val="18"/>
          <w:u w:val="single"/>
        </w:rPr>
        <w:t>Group-1 (glucose codes)</w:t>
      </w:r>
      <w:r w:rsidRPr="00464DAF">
        <w:rPr>
          <w:rFonts w:ascii="Arial" w:hAnsi="Arial" w:cs="Arial"/>
          <w:b/>
          <w:sz w:val="18"/>
          <w:szCs w:val="18"/>
        </w:rPr>
        <w:t>:</w:t>
      </w:r>
      <w:r w:rsidRPr="00464DAF">
        <w:rPr>
          <w:rFonts w:ascii="Arial" w:hAnsi="Arial" w:cs="Arial"/>
          <w:sz w:val="18"/>
          <w:szCs w:val="18"/>
        </w:rPr>
        <w:t xml:space="preserve"> Criteria require </w:t>
      </w:r>
      <w:r w:rsidRPr="00464DAF">
        <w:rPr>
          <w:rFonts w:ascii="Arial" w:hAnsi="Arial" w:cs="Arial"/>
          <w:sz w:val="18"/>
          <w:szCs w:val="18"/>
          <w:u w:val="single"/>
        </w:rPr>
        <w:t>one</w:t>
      </w:r>
      <w:r w:rsidRPr="00464DAF">
        <w:rPr>
          <w:rFonts w:ascii="Arial" w:hAnsi="Arial" w:cs="Arial"/>
          <w:sz w:val="18"/>
          <w:szCs w:val="18"/>
        </w:rPr>
        <w:t xml:space="preserve"> of the following CPT codes that contain glucose monitoring in the previous 9 months from claim date of in-process claim:</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83036 (HbA1c),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80050 (General Health Panel),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80069 (Renal Function Panel),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80047 (Basic Metabolic Panel),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80048 (Basic Metabolic Panel), OR </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80053 (Comprehensive metabolic panel ), O</w:t>
      </w:r>
      <w:r w:rsidR="00667741">
        <w:rPr>
          <w:rFonts w:ascii="Arial" w:hAnsi="Arial" w:cs="Arial"/>
          <w:sz w:val="18"/>
          <w:szCs w:val="18"/>
        </w:rPr>
        <w:t>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82962 (Glucose, blood by glucose monitoring device(s) cleared by the FD</w:t>
      </w:r>
      <w:r w:rsidR="00667741">
        <w:rPr>
          <w:rFonts w:ascii="Arial" w:hAnsi="Arial" w:cs="Arial"/>
          <w:sz w:val="18"/>
          <w:szCs w:val="18"/>
        </w:rPr>
        <w:t>A specifically for home use)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82948 (Glu</w:t>
      </w:r>
      <w:r w:rsidR="00667741">
        <w:rPr>
          <w:rFonts w:ascii="Arial" w:hAnsi="Arial" w:cs="Arial"/>
          <w:sz w:val="18"/>
          <w:szCs w:val="18"/>
        </w:rPr>
        <w:t>cose; blood, reagent strip ) OR</w:t>
      </w:r>
    </w:p>
    <w:p w:rsidR="00227AD3" w:rsidRPr="00464DAF" w:rsidRDefault="00227AD3" w:rsidP="00227AD3">
      <w:pPr>
        <w:pStyle w:val="ListParagraph"/>
        <w:numPr>
          <w:ilvl w:val="0"/>
          <w:numId w:val="2"/>
        </w:numPr>
        <w:autoSpaceDE w:val="0"/>
        <w:autoSpaceDN w:val="0"/>
        <w:adjustRightInd w:val="0"/>
        <w:rPr>
          <w:rFonts w:ascii="Arial" w:hAnsi="Arial" w:cs="Arial"/>
          <w:sz w:val="18"/>
          <w:szCs w:val="18"/>
        </w:rPr>
      </w:pPr>
      <w:r w:rsidRPr="00464DAF">
        <w:rPr>
          <w:rFonts w:ascii="Arial" w:hAnsi="Arial" w:cs="Arial"/>
          <w:sz w:val="18"/>
          <w:szCs w:val="18"/>
        </w:rPr>
        <w:t xml:space="preserve">82947 </w:t>
      </w:r>
      <w:r w:rsidR="00667741">
        <w:rPr>
          <w:rFonts w:ascii="Arial" w:hAnsi="Arial" w:cs="Arial"/>
          <w:sz w:val="18"/>
          <w:szCs w:val="18"/>
        </w:rPr>
        <w:t>(Glucose; quantitative, blood),</w:t>
      </w:r>
    </w:p>
    <w:p w:rsidR="00227AD3" w:rsidRPr="00464DAF" w:rsidRDefault="00227AD3" w:rsidP="00227AD3">
      <w:pPr>
        <w:pStyle w:val="ListParagraph"/>
        <w:autoSpaceDE w:val="0"/>
        <w:autoSpaceDN w:val="0"/>
        <w:adjustRightInd w:val="0"/>
        <w:ind w:left="1440"/>
        <w:rPr>
          <w:rFonts w:ascii="Arial" w:hAnsi="Arial" w:cs="Arial"/>
          <w:sz w:val="18"/>
          <w:szCs w:val="18"/>
        </w:rPr>
      </w:pPr>
    </w:p>
    <w:p w:rsidR="00227AD3" w:rsidRPr="00464DAF" w:rsidRDefault="00227AD3" w:rsidP="00227AD3">
      <w:pPr>
        <w:pStyle w:val="ListParagraph"/>
        <w:autoSpaceDE w:val="0"/>
        <w:autoSpaceDN w:val="0"/>
        <w:adjustRightInd w:val="0"/>
        <w:rPr>
          <w:rFonts w:ascii="Arial" w:hAnsi="Arial" w:cs="Arial"/>
          <w:sz w:val="18"/>
          <w:szCs w:val="18"/>
        </w:rPr>
      </w:pPr>
      <w:r w:rsidRPr="00464DAF">
        <w:rPr>
          <w:rFonts w:ascii="Arial" w:hAnsi="Arial" w:cs="Arial"/>
          <w:b/>
          <w:i/>
          <w:sz w:val="18"/>
          <w:szCs w:val="18"/>
          <w:u w:val="single"/>
        </w:rPr>
        <w:t>AND</w:t>
      </w:r>
      <w:r w:rsidRPr="00464DAF">
        <w:rPr>
          <w:rFonts w:ascii="Arial" w:hAnsi="Arial" w:cs="Arial"/>
          <w:sz w:val="18"/>
          <w:szCs w:val="18"/>
        </w:rPr>
        <w:t xml:space="preserve">, criteria require </w:t>
      </w:r>
      <w:r w:rsidRPr="00464DAF">
        <w:rPr>
          <w:rFonts w:ascii="Arial" w:hAnsi="Arial" w:cs="Arial"/>
          <w:sz w:val="18"/>
          <w:szCs w:val="18"/>
          <w:u w:val="single"/>
        </w:rPr>
        <w:t>one</w:t>
      </w:r>
      <w:r w:rsidRPr="00464DAF">
        <w:rPr>
          <w:rFonts w:ascii="Arial" w:hAnsi="Arial" w:cs="Arial"/>
          <w:sz w:val="18"/>
          <w:szCs w:val="18"/>
        </w:rPr>
        <w:t xml:space="preserve"> of the following lipid panel tests or </w:t>
      </w:r>
      <w:r w:rsidRPr="00464DAF">
        <w:rPr>
          <w:rFonts w:ascii="Arial" w:hAnsi="Arial" w:cs="Arial"/>
          <w:sz w:val="18"/>
          <w:szCs w:val="18"/>
          <w:u w:val="single"/>
        </w:rPr>
        <w:t>all</w:t>
      </w:r>
      <w:r w:rsidRPr="00464DAF">
        <w:rPr>
          <w:rFonts w:ascii="Arial" w:hAnsi="Arial" w:cs="Arial"/>
          <w:sz w:val="18"/>
          <w:szCs w:val="18"/>
        </w:rPr>
        <w:t xml:space="preserve"> of the individual lipid test monitoring codes in previous 9 months from claim date of the in-process claim:</w:t>
      </w:r>
    </w:p>
    <w:p w:rsidR="00227AD3" w:rsidRPr="00464DAF" w:rsidRDefault="00227AD3" w:rsidP="00227AD3">
      <w:pPr>
        <w:pStyle w:val="ListParagraph"/>
        <w:autoSpaceDE w:val="0"/>
        <w:autoSpaceDN w:val="0"/>
        <w:adjustRightInd w:val="0"/>
        <w:rPr>
          <w:rFonts w:ascii="Arial" w:hAnsi="Arial" w:cs="Arial"/>
          <w:sz w:val="18"/>
          <w:szCs w:val="18"/>
        </w:rPr>
      </w:pPr>
    </w:p>
    <w:p w:rsidR="00227AD3" w:rsidRPr="00464DAF" w:rsidRDefault="00227AD3" w:rsidP="00227AD3">
      <w:pPr>
        <w:pStyle w:val="ListParagraph"/>
        <w:autoSpaceDE w:val="0"/>
        <w:autoSpaceDN w:val="0"/>
        <w:adjustRightInd w:val="0"/>
        <w:ind w:left="0"/>
        <w:rPr>
          <w:rFonts w:ascii="Arial" w:hAnsi="Arial" w:cs="Arial"/>
          <w:b/>
          <w:sz w:val="18"/>
          <w:szCs w:val="18"/>
          <w:u w:val="single"/>
        </w:rPr>
      </w:pPr>
      <w:r w:rsidRPr="00464DAF">
        <w:rPr>
          <w:rFonts w:ascii="Arial" w:hAnsi="Arial" w:cs="Arial"/>
          <w:b/>
          <w:sz w:val="18"/>
          <w:szCs w:val="18"/>
          <w:u w:val="single"/>
        </w:rPr>
        <w:t>Group-2 (lipid codes)</w:t>
      </w:r>
    </w:p>
    <w:p w:rsidR="00227AD3" w:rsidRPr="00464DAF" w:rsidRDefault="00227AD3" w:rsidP="00227AD3">
      <w:pPr>
        <w:pStyle w:val="ListParagraph"/>
        <w:numPr>
          <w:ilvl w:val="0"/>
          <w:numId w:val="3"/>
        </w:numPr>
        <w:autoSpaceDE w:val="0"/>
        <w:autoSpaceDN w:val="0"/>
        <w:adjustRightInd w:val="0"/>
        <w:rPr>
          <w:rFonts w:ascii="Arial" w:hAnsi="Arial" w:cs="Arial"/>
          <w:sz w:val="18"/>
          <w:szCs w:val="18"/>
        </w:rPr>
      </w:pPr>
      <w:r w:rsidRPr="00464DAF">
        <w:rPr>
          <w:rFonts w:ascii="Arial" w:hAnsi="Arial" w:cs="Arial"/>
          <w:sz w:val="18"/>
          <w:szCs w:val="18"/>
        </w:rPr>
        <w:t>80061 (Lipid panel ), OR</w:t>
      </w:r>
    </w:p>
    <w:p w:rsidR="00227AD3" w:rsidRPr="00464DAF" w:rsidRDefault="00227AD3" w:rsidP="00227AD3">
      <w:pPr>
        <w:pStyle w:val="ListParagraph"/>
        <w:numPr>
          <w:ilvl w:val="0"/>
          <w:numId w:val="3"/>
        </w:numPr>
        <w:autoSpaceDE w:val="0"/>
        <w:autoSpaceDN w:val="0"/>
        <w:adjustRightInd w:val="0"/>
        <w:rPr>
          <w:rFonts w:ascii="Arial" w:hAnsi="Arial" w:cs="Arial"/>
          <w:sz w:val="18"/>
          <w:szCs w:val="18"/>
        </w:rPr>
      </w:pPr>
      <w:r w:rsidRPr="00464DAF">
        <w:rPr>
          <w:rFonts w:ascii="Arial" w:hAnsi="Arial" w:cs="Arial"/>
          <w:sz w:val="18"/>
          <w:szCs w:val="18"/>
        </w:rPr>
        <w:t>83701 (High resolution fractionation and quantitation of lipoproteins panel), OR</w:t>
      </w:r>
    </w:p>
    <w:p w:rsidR="008F2D75" w:rsidRPr="00464DAF" w:rsidRDefault="00227AD3" w:rsidP="009E699E">
      <w:pPr>
        <w:pStyle w:val="ListParagraph"/>
        <w:numPr>
          <w:ilvl w:val="0"/>
          <w:numId w:val="3"/>
        </w:numPr>
        <w:autoSpaceDE w:val="0"/>
        <w:autoSpaceDN w:val="0"/>
        <w:adjustRightInd w:val="0"/>
        <w:rPr>
          <w:rFonts w:ascii="Arial" w:hAnsi="Arial" w:cs="Arial"/>
          <w:sz w:val="18"/>
          <w:szCs w:val="18"/>
        </w:rPr>
      </w:pPr>
      <w:r w:rsidRPr="00464DAF">
        <w:rPr>
          <w:rFonts w:ascii="Arial" w:hAnsi="Arial" w:cs="Arial"/>
          <w:sz w:val="18"/>
          <w:szCs w:val="18"/>
        </w:rPr>
        <w:t>82465 (Cholesterol, serum or whole blood, total ), AND  83718 (HDL cholesterol ), AND 84478 (Triglycerides ), AND 83721 (LDL Cholesterol)</w:t>
      </w:r>
    </w:p>
    <w:p w:rsidR="008F2D75" w:rsidRPr="00464DAF" w:rsidRDefault="008F2D75" w:rsidP="008F2D75"/>
    <w:p w:rsidR="008F2D75" w:rsidRPr="00464DAF" w:rsidRDefault="008F2D75" w:rsidP="008F2D75">
      <w:pPr>
        <w:pStyle w:val="ListParagraph"/>
        <w:ind w:left="0"/>
        <w:rPr>
          <w:rFonts w:ascii="Arial" w:hAnsi="Arial" w:cs="Arial"/>
          <w:sz w:val="18"/>
          <w:szCs w:val="18"/>
        </w:rPr>
      </w:pPr>
      <w:r w:rsidRPr="00464DAF">
        <w:rPr>
          <w:rFonts w:ascii="Arial" w:hAnsi="Arial" w:cs="Arial"/>
          <w:b/>
          <w:sz w:val="18"/>
          <w:szCs w:val="18"/>
        </w:rPr>
        <w:t>Please Note:</w:t>
      </w:r>
      <w:r w:rsidRPr="00464DAF">
        <w:rPr>
          <w:rFonts w:ascii="Arial" w:hAnsi="Arial" w:cs="Arial"/>
          <w:sz w:val="18"/>
          <w:szCs w:val="18"/>
        </w:rPr>
        <w:t xml:space="preserve"> When any provider sends a patient who is less than 18 y</w:t>
      </w:r>
      <w:r w:rsidR="00830A5C">
        <w:rPr>
          <w:rFonts w:ascii="Arial" w:hAnsi="Arial" w:cs="Arial"/>
          <w:sz w:val="18"/>
          <w:szCs w:val="18"/>
        </w:rPr>
        <w:t>ea</w:t>
      </w:r>
      <w:r w:rsidRPr="00464DAF">
        <w:rPr>
          <w:rFonts w:ascii="Arial" w:hAnsi="Arial" w:cs="Arial"/>
          <w:sz w:val="18"/>
          <w:szCs w:val="18"/>
        </w:rPr>
        <w:t>rs of age for the metabolic labs required for the antipsychotic agents</w:t>
      </w:r>
      <w:r w:rsidRPr="00464DAF">
        <w:rPr>
          <w:rFonts w:ascii="Arial" w:hAnsi="Arial" w:cs="Arial"/>
          <w:i/>
          <w:sz w:val="18"/>
          <w:szCs w:val="18"/>
        </w:rPr>
        <w:t xml:space="preserve">, the provider must include </w:t>
      </w:r>
      <w:r w:rsidRPr="00464DAF">
        <w:rPr>
          <w:rFonts w:ascii="Arial" w:hAnsi="Arial" w:cs="Arial"/>
          <w:sz w:val="18"/>
          <w:szCs w:val="18"/>
          <w:u w:val="single"/>
        </w:rPr>
        <w:t xml:space="preserve">the PCP’s name and Medicaid ID number </w:t>
      </w:r>
      <w:r w:rsidRPr="00464DAF">
        <w:rPr>
          <w:rFonts w:ascii="Arial" w:hAnsi="Arial" w:cs="Arial"/>
          <w:i/>
          <w:sz w:val="18"/>
          <w:szCs w:val="18"/>
        </w:rPr>
        <w:t>in the lab order request form</w:t>
      </w:r>
      <w:r w:rsidR="00667741">
        <w:rPr>
          <w:rFonts w:ascii="Arial" w:hAnsi="Arial" w:cs="Arial"/>
          <w:sz w:val="18"/>
          <w:szCs w:val="18"/>
        </w:rPr>
        <w:t>.</w:t>
      </w:r>
      <w:r w:rsidRPr="00464DAF">
        <w:rPr>
          <w:rFonts w:ascii="Arial" w:hAnsi="Arial" w:cs="Arial"/>
          <w:sz w:val="18"/>
          <w:szCs w:val="18"/>
        </w:rPr>
        <w:t xml:space="preserve"> </w:t>
      </w:r>
      <w:r w:rsidRPr="00464DAF">
        <w:rPr>
          <w:rFonts w:ascii="Arial" w:hAnsi="Arial" w:cs="Arial"/>
          <w:i/>
          <w:sz w:val="18"/>
          <w:szCs w:val="18"/>
        </w:rPr>
        <w:t>It does not have to be the PCP ordering the labs.</w:t>
      </w:r>
      <w:r w:rsidR="00667741">
        <w:rPr>
          <w:rFonts w:ascii="Arial" w:hAnsi="Arial" w:cs="Arial"/>
          <w:sz w:val="18"/>
          <w:szCs w:val="18"/>
        </w:rPr>
        <w:t xml:space="preserve"> </w:t>
      </w:r>
      <w:r w:rsidRPr="00464DAF">
        <w:rPr>
          <w:rFonts w:ascii="Arial" w:hAnsi="Arial" w:cs="Arial"/>
          <w:sz w:val="18"/>
          <w:szCs w:val="18"/>
        </w:rPr>
        <w:t>Please refer to the Physician/Independent Lab/CRNA/Radiation Therapy Center Provider Manual, section II, 245.000 B for detailed information pasted below:</w:t>
      </w:r>
    </w:p>
    <w:p w:rsidR="008F2D75" w:rsidRPr="00464DAF" w:rsidRDefault="008F2D75" w:rsidP="008F2D75">
      <w:pPr>
        <w:pStyle w:val="ListParagraph"/>
        <w:ind w:left="0"/>
        <w:rPr>
          <w:rFonts w:ascii="Arial" w:hAnsi="Arial" w:cs="Arial"/>
          <w:sz w:val="18"/>
          <w:szCs w:val="18"/>
        </w:rPr>
      </w:pPr>
    </w:p>
    <w:p w:rsidR="00446878" w:rsidRPr="005B12BA" w:rsidRDefault="00446878" w:rsidP="00446878">
      <w:pPr>
        <w:pStyle w:val="CLETTERED"/>
        <w:rPr>
          <w:b/>
          <w:sz w:val="18"/>
          <w:szCs w:val="18"/>
        </w:rPr>
      </w:pPr>
      <w:r w:rsidRPr="005B12BA">
        <w:rPr>
          <w:b/>
          <w:sz w:val="18"/>
          <w:szCs w:val="18"/>
        </w:rPr>
        <w:t>B.</w:t>
      </w:r>
      <w:r w:rsidRPr="005B12BA">
        <w:rPr>
          <w:b/>
          <w:sz w:val="18"/>
          <w:szCs w:val="18"/>
        </w:rPr>
        <w:tab/>
        <w:t>The referring physician’s individual provider identification number must also accompany the order.</w:t>
      </w:r>
    </w:p>
    <w:p w:rsidR="00446878" w:rsidRPr="00446878" w:rsidRDefault="00446878" w:rsidP="00446878">
      <w:pPr>
        <w:pStyle w:val="cnumbered"/>
        <w:rPr>
          <w:sz w:val="18"/>
          <w:szCs w:val="18"/>
        </w:rPr>
      </w:pPr>
      <w:r w:rsidRPr="00446878">
        <w:rPr>
          <w:sz w:val="18"/>
          <w:szCs w:val="18"/>
        </w:rPr>
        <w:t>1.</w:t>
      </w:r>
      <w:r w:rsidRPr="00446878">
        <w:rPr>
          <w:sz w:val="18"/>
          <w:szCs w:val="18"/>
        </w:rPr>
        <w:tab/>
        <w:t>If the client’s PCP referred the client to the physician ordering the tests, the ordering physician must include with the order the PCP’s individual provider identification number, in addition to his or her own individual provider identification number.</w:t>
      </w:r>
    </w:p>
    <w:p w:rsidR="00446878" w:rsidRPr="00446878" w:rsidRDefault="00446878" w:rsidP="00446878">
      <w:pPr>
        <w:pStyle w:val="cnumbered"/>
        <w:rPr>
          <w:sz w:val="18"/>
          <w:szCs w:val="18"/>
        </w:rPr>
      </w:pPr>
      <w:r w:rsidRPr="00446878">
        <w:rPr>
          <w:sz w:val="18"/>
          <w:szCs w:val="18"/>
        </w:rPr>
        <w:t>2.</w:t>
      </w:r>
      <w:r w:rsidRPr="00446878">
        <w:rPr>
          <w:sz w:val="18"/>
          <w:szCs w:val="18"/>
        </w:rPr>
        <w:tab/>
        <w:t>The reference facility retains the ordering physician’s provider information with the client’s medical record for the medical necessity audit trail.</w:t>
      </w:r>
    </w:p>
    <w:p w:rsidR="00446878" w:rsidRPr="00446878" w:rsidRDefault="00446878" w:rsidP="00446878">
      <w:pPr>
        <w:pStyle w:val="cnumbered"/>
        <w:rPr>
          <w:sz w:val="18"/>
          <w:szCs w:val="18"/>
        </w:rPr>
      </w:pPr>
      <w:r w:rsidRPr="00446878">
        <w:rPr>
          <w:sz w:val="18"/>
          <w:szCs w:val="18"/>
        </w:rPr>
        <w:t>3.</w:t>
      </w:r>
      <w:r w:rsidRPr="00446878">
        <w:rPr>
          <w:sz w:val="18"/>
          <w:szCs w:val="18"/>
        </w:rPr>
        <w:tab/>
        <w:t>The reference facility enters the PCP’s provider identification number on its claim(s) to certify PCP referral.</w:t>
      </w:r>
    </w:p>
    <w:p w:rsidR="00446878" w:rsidRPr="00446878" w:rsidRDefault="00446878" w:rsidP="00446878">
      <w:pPr>
        <w:pStyle w:val="cnumbered"/>
        <w:rPr>
          <w:sz w:val="18"/>
          <w:szCs w:val="18"/>
        </w:rPr>
      </w:pPr>
      <w:r w:rsidRPr="00446878">
        <w:rPr>
          <w:sz w:val="18"/>
          <w:szCs w:val="18"/>
        </w:rPr>
        <w:t>4.</w:t>
      </w:r>
      <w:r w:rsidRPr="00446878">
        <w:rPr>
          <w:sz w:val="18"/>
          <w:szCs w:val="18"/>
        </w:rPr>
        <w:tab/>
        <w:t>If the Medicaid client is exempt from PCP Program requirements, the reference facility submits the individual provider identification number of the ordering physician on its Medicaid claim.</w:t>
      </w:r>
    </w:p>
    <w:p w:rsidR="00227AD3" w:rsidRPr="008F2D75" w:rsidRDefault="00227AD3" w:rsidP="008F2D75"/>
    <w:sectPr w:rsidR="00227AD3" w:rsidRPr="008F2D75" w:rsidSect="00227AD3">
      <w:type w:val="continuous"/>
      <w:pgSz w:w="12240" w:h="15840" w:code="1"/>
      <w:pgMar w:top="1440" w:right="1440" w:bottom="1440" w:left="1440" w:header="72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B69" w:rsidRDefault="003E5B69">
      <w:r>
        <w:separator/>
      </w:r>
    </w:p>
  </w:endnote>
  <w:endnote w:type="continuationSeparator" w:id="0">
    <w:p w:rsidR="003E5B69" w:rsidRDefault="003E5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LBKHM+Arial">
    <w:altName w:val="Times New Roman"/>
    <w:charset w:val="00"/>
    <w:family w:val="auto"/>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878" w:rsidRPr="00457AD6" w:rsidRDefault="00446878" w:rsidP="00446878">
    <w:pPr>
      <w:pStyle w:val="Footer"/>
      <w:jc w:val="center"/>
      <w:rPr>
        <w:sz w:val="17"/>
        <w:szCs w:val="17"/>
      </w:rPr>
    </w:pPr>
  </w:p>
  <w:p w:rsidR="00446878" w:rsidRPr="00EC42C0" w:rsidRDefault="00446878" w:rsidP="00446878">
    <w:pPr>
      <w:pStyle w:val="Footer"/>
      <w:jc w:val="center"/>
      <w:rPr>
        <w:rFonts w:ascii="AGaramond Bold" w:hAnsi="AGaramond Bold" w:cs="Arial"/>
        <w:b/>
        <w:bCs/>
        <w:sz w:val="20"/>
        <w:szCs w:val="20"/>
      </w:rPr>
    </w:pPr>
    <w:r>
      <w:rPr>
        <w:rFonts w:ascii="AGaramond Bold" w:hAnsi="AGaramond Bold" w:cs="Arial"/>
        <w:b/>
        <w:bCs/>
        <w:sz w:val="20"/>
        <w:szCs w:val="20"/>
      </w:rPr>
      <w:t>h</w:t>
    </w:r>
    <w:r w:rsidRPr="00EC42C0">
      <w:rPr>
        <w:rFonts w:ascii="AGaramond Bold" w:hAnsi="AGaramond Bold" w:cs="Arial"/>
        <w:b/>
        <w:bCs/>
        <w:sz w:val="20"/>
        <w:szCs w:val="20"/>
      </w:rPr>
      <w:t>umanservices.arkansas.gov</w:t>
    </w:r>
  </w:p>
  <w:p w:rsidR="00446878" w:rsidRDefault="00446878" w:rsidP="00446878">
    <w:pPr>
      <w:pStyle w:val="Footer"/>
      <w:tabs>
        <w:tab w:val="clear" w:pos="4320"/>
        <w:tab w:val="clear" w:pos="8640"/>
        <w:tab w:val="center" w:pos="5400"/>
        <w:tab w:val="right" w:pos="10800"/>
      </w:tabs>
      <w:jc w:val="right"/>
      <w:rPr>
        <w:rFonts w:ascii="AGaramond Bold" w:hAnsi="AGaramond Bold" w:cs="Arial"/>
        <w:bCs/>
        <w:color w:val="808080"/>
        <w:sz w:val="18"/>
        <w:szCs w:val="18"/>
      </w:rPr>
    </w:pPr>
    <w:r>
      <w:rPr>
        <w:rFonts w:ascii="AGaramond Bold" w:hAnsi="AGaramond Bold" w:cs="Arial"/>
        <w:b/>
        <w:bCs/>
        <w:sz w:val="20"/>
        <w:szCs w:val="20"/>
      </w:rPr>
      <w:tab/>
    </w:r>
    <w:r w:rsidRPr="00EC42C0">
      <w:rPr>
        <w:rFonts w:ascii="AGaramond Bold" w:hAnsi="AGaramond Bold" w:cs="Arial"/>
        <w:b/>
        <w:bCs/>
        <w:sz w:val="20"/>
        <w:szCs w:val="20"/>
      </w:rPr>
      <w:t>Protecting the vulnerable, fostering independence and promoting better health</w:t>
    </w:r>
    <w:r>
      <w:rPr>
        <w:rFonts w:ascii="AGaramond Bold" w:hAnsi="AGaramond Bold" w:cs="Arial"/>
        <w:b/>
        <w:bCs/>
        <w:sz w:val="20"/>
        <w:szCs w:val="20"/>
      </w:rPr>
      <w:tab/>
    </w:r>
    <w:r w:rsidRPr="004D53D3">
      <w:rPr>
        <w:rFonts w:ascii="AGaramond Bold" w:hAnsi="AGaramond Bold" w:cs="Arial"/>
        <w:bCs/>
        <w:color w:val="808080"/>
        <w:sz w:val="18"/>
        <w:szCs w:val="18"/>
      </w:rPr>
      <w:t>ProvMem-</w:t>
    </w:r>
    <w:r>
      <w:rPr>
        <w:rFonts w:ascii="AGaramond Bold" w:hAnsi="AGaramond Bold" w:cs="Arial"/>
        <w:bCs/>
        <w:color w:val="808080"/>
        <w:sz w:val="18"/>
        <w:szCs w:val="18"/>
      </w:rPr>
      <w:t>0</w:t>
    </w:r>
    <w:r w:rsidR="00852F0D">
      <w:rPr>
        <w:rFonts w:ascii="AGaramond Bold" w:hAnsi="AGaramond Bold" w:cs="Arial"/>
        <w:bCs/>
        <w:color w:val="808080"/>
        <w:sz w:val="18"/>
        <w:szCs w:val="18"/>
      </w:rPr>
      <w:t>02-14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B69" w:rsidRDefault="003E5B69">
      <w:r>
        <w:separator/>
      </w:r>
    </w:p>
  </w:footnote>
  <w:footnote w:type="continuationSeparator" w:id="0">
    <w:p w:rsidR="003E5B69" w:rsidRDefault="003E5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D6" w:rsidRPr="00227AD3" w:rsidRDefault="00AA40D6">
    <w:pPr>
      <w:pStyle w:val="Header"/>
      <w:rPr>
        <w:sz w:val="16"/>
        <w:szCs w:val="16"/>
      </w:rPr>
    </w:pPr>
    <w:r w:rsidRPr="00227AD3">
      <w:rPr>
        <w:rFonts w:ascii="Arial" w:hAnsi="Arial" w:cs="Arial"/>
        <w:color w:val="7F7F7F"/>
        <w:spacing w:val="60"/>
        <w:sz w:val="16"/>
        <w:szCs w:val="16"/>
      </w:rPr>
      <w:t>AR Medicaid DUR Board Meeting</w:t>
    </w:r>
    <w:r w:rsidRPr="00227AD3">
      <w:rPr>
        <w:color w:val="7F7F7F"/>
        <w:spacing w:val="60"/>
        <w:sz w:val="16"/>
        <w:szCs w:val="16"/>
      </w:rPr>
      <w:t xml:space="preserve"> </w:t>
    </w:r>
    <w:r>
      <w:rPr>
        <w:rFonts w:ascii="Arial" w:hAnsi="Arial" w:cs="Arial"/>
        <w:color w:val="7F7F7F"/>
        <w:spacing w:val="60"/>
        <w:sz w:val="16"/>
        <w:szCs w:val="16"/>
      </w:rPr>
      <w:t>April 16</w:t>
    </w:r>
    <w:r w:rsidRPr="00227AD3">
      <w:rPr>
        <w:rFonts w:ascii="Arial" w:hAnsi="Arial" w:cs="Arial"/>
        <w:color w:val="7F7F7F"/>
        <w:spacing w:val="60"/>
        <w:sz w:val="16"/>
        <w:szCs w:val="16"/>
      </w:rPr>
      <w:t>, 201</w:t>
    </w:r>
    <w:r>
      <w:rPr>
        <w:rFonts w:ascii="Arial" w:hAnsi="Arial" w:cs="Arial"/>
        <w:color w:val="7F7F7F"/>
        <w:spacing w:val="60"/>
        <w:sz w:val="16"/>
        <w:szCs w:val="16"/>
      </w:rPr>
      <w:t>4</w:t>
    </w:r>
    <w:r w:rsidRPr="00227AD3">
      <w:rPr>
        <w:rFonts w:ascii="Arial" w:hAnsi="Arial" w:cs="Arial"/>
        <w:color w:val="7F7F7F"/>
        <w:spacing w:val="60"/>
        <w:sz w:val="16"/>
        <w:szCs w:val="16"/>
      </w:rPr>
      <w:t xml:space="preserve">       </w:t>
    </w:r>
    <w:r>
      <w:rPr>
        <w:rFonts w:ascii="Arial" w:hAnsi="Arial" w:cs="Arial"/>
        <w:color w:val="7F7F7F"/>
        <w:spacing w:val="60"/>
        <w:sz w:val="16"/>
        <w:szCs w:val="16"/>
      </w:rPr>
      <w:t xml:space="preserve"> </w:t>
    </w:r>
    <w:r w:rsidRPr="00227AD3">
      <w:rPr>
        <w:rFonts w:ascii="Arial" w:hAnsi="Arial" w:cs="Arial"/>
        <w:color w:val="7F7F7F"/>
        <w:spacing w:val="60"/>
        <w:sz w:val="16"/>
        <w:szCs w:val="16"/>
      </w:rPr>
      <w:t xml:space="preserve">     Page </w:t>
    </w:r>
    <w:r w:rsidRPr="00227AD3">
      <w:rPr>
        <w:rFonts w:ascii="Arial" w:hAnsi="Arial" w:cs="Arial"/>
        <w:color w:val="7F7F7F"/>
        <w:spacing w:val="60"/>
        <w:sz w:val="16"/>
        <w:szCs w:val="16"/>
      </w:rPr>
      <w:fldChar w:fldCharType="begin"/>
    </w:r>
    <w:r w:rsidRPr="00227AD3">
      <w:rPr>
        <w:rFonts w:ascii="Arial" w:hAnsi="Arial" w:cs="Arial"/>
        <w:color w:val="7F7F7F"/>
        <w:spacing w:val="60"/>
        <w:sz w:val="16"/>
        <w:szCs w:val="16"/>
      </w:rPr>
      <w:instrText xml:space="preserve"> PAGE </w:instrText>
    </w:r>
    <w:r w:rsidRPr="00227AD3">
      <w:rPr>
        <w:rFonts w:ascii="Arial" w:hAnsi="Arial" w:cs="Arial"/>
        <w:color w:val="7F7F7F"/>
        <w:spacing w:val="60"/>
        <w:sz w:val="16"/>
        <w:szCs w:val="16"/>
      </w:rPr>
      <w:fldChar w:fldCharType="separate"/>
    </w:r>
    <w:r w:rsidR="00B5257C">
      <w:rPr>
        <w:rFonts w:ascii="Arial" w:hAnsi="Arial" w:cs="Arial"/>
        <w:noProof/>
        <w:color w:val="7F7F7F"/>
        <w:spacing w:val="60"/>
        <w:sz w:val="16"/>
        <w:szCs w:val="16"/>
      </w:rPr>
      <w:t>14</w:t>
    </w:r>
    <w:r w:rsidRPr="00227AD3">
      <w:rPr>
        <w:rFonts w:ascii="Arial" w:hAnsi="Arial" w:cs="Arial"/>
        <w:color w:val="7F7F7F"/>
        <w:spacing w:val="60"/>
        <w:sz w:val="16"/>
        <w:szCs w:val="16"/>
      </w:rPr>
      <w:fldChar w:fldCharType="end"/>
    </w:r>
    <w:r w:rsidRPr="00227AD3">
      <w:rPr>
        <w:rFonts w:ascii="Arial" w:hAnsi="Arial" w:cs="Arial"/>
        <w:color w:val="7F7F7F"/>
        <w:spacing w:val="60"/>
        <w:sz w:val="16"/>
        <w:szCs w:val="16"/>
      </w:rPr>
      <w:t xml:space="preserve"> of </w:t>
    </w:r>
    <w:r w:rsidRPr="00227AD3">
      <w:rPr>
        <w:rFonts w:ascii="Arial" w:hAnsi="Arial" w:cs="Arial"/>
        <w:color w:val="7F7F7F"/>
        <w:spacing w:val="60"/>
        <w:sz w:val="16"/>
        <w:szCs w:val="16"/>
      </w:rPr>
      <w:fldChar w:fldCharType="begin"/>
    </w:r>
    <w:r w:rsidRPr="00227AD3">
      <w:rPr>
        <w:rFonts w:ascii="Arial" w:hAnsi="Arial" w:cs="Arial"/>
        <w:color w:val="7F7F7F"/>
        <w:spacing w:val="60"/>
        <w:sz w:val="16"/>
        <w:szCs w:val="16"/>
      </w:rPr>
      <w:instrText xml:space="preserve"> NUMPAGES  </w:instrText>
    </w:r>
    <w:r w:rsidRPr="00227AD3">
      <w:rPr>
        <w:rFonts w:ascii="Arial" w:hAnsi="Arial" w:cs="Arial"/>
        <w:color w:val="7F7F7F"/>
        <w:spacing w:val="60"/>
        <w:sz w:val="16"/>
        <w:szCs w:val="16"/>
      </w:rPr>
      <w:fldChar w:fldCharType="separate"/>
    </w:r>
    <w:r w:rsidR="00B5257C">
      <w:rPr>
        <w:rFonts w:ascii="Arial" w:hAnsi="Arial" w:cs="Arial"/>
        <w:noProof/>
        <w:color w:val="7F7F7F"/>
        <w:spacing w:val="60"/>
        <w:sz w:val="16"/>
        <w:szCs w:val="16"/>
      </w:rPr>
      <w:t>14</w:t>
    </w:r>
    <w:r w:rsidRPr="00227AD3">
      <w:rPr>
        <w:rFonts w:ascii="Arial" w:hAnsi="Arial" w:cs="Arial"/>
        <w:color w:val="7F7F7F"/>
        <w:spacing w:val="60"/>
        <w:sz w:val="16"/>
        <w:szCs w:val="16"/>
      </w:rPr>
      <w:fldChar w:fldCharType="end"/>
    </w:r>
  </w:p>
  <w:p w:rsidR="00AA40D6" w:rsidRDefault="00AA40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B1F"/>
    <w:multiLevelType w:val="hybridMultilevel"/>
    <w:tmpl w:val="5750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DA49D3"/>
    <w:multiLevelType w:val="hybridMultilevel"/>
    <w:tmpl w:val="FB0CB268"/>
    <w:lvl w:ilvl="0" w:tplc="F0546A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C23E22"/>
    <w:multiLevelType w:val="hybridMultilevel"/>
    <w:tmpl w:val="D35ACF42"/>
    <w:lvl w:ilvl="0" w:tplc="0409000F">
      <w:start w:val="1"/>
      <w:numFmt w:val="decimal"/>
      <w:lvlText w:val="%1."/>
      <w:lvlJc w:val="left"/>
      <w:pPr>
        <w:ind w:left="720" w:hanging="360"/>
      </w:pPr>
      <w:rPr>
        <w:rFonts w:hint="default"/>
        <w:b/>
      </w:rPr>
    </w:lvl>
    <w:lvl w:ilvl="1" w:tplc="B64632F0">
      <w:start w:val="1"/>
      <w:numFmt w:val="lowerLetter"/>
      <w:lvlText w:val="%2."/>
      <w:lvlJc w:val="left"/>
      <w:pPr>
        <w:ind w:left="1440" w:hanging="360"/>
      </w:pPr>
      <w:rPr>
        <w:b/>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01DD6"/>
    <w:multiLevelType w:val="hybridMultilevel"/>
    <w:tmpl w:val="BA9456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2B6BE0"/>
    <w:multiLevelType w:val="hybridMultilevel"/>
    <w:tmpl w:val="D2DE3FB2"/>
    <w:lvl w:ilvl="0" w:tplc="FD0C7D4C">
      <w:start w:val="4"/>
      <w:numFmt w:val="decimal"/>
      <w:lvlText w:val="%1."/>
      <w:lvlJc w:val="left"/>
      <w:pPr>
        <w:ind w:left="720" w:hanging="360"/>
      </w:pPr>
      <w:rPr>
        <w:rFonts w:hint="default"/>
        <w:b/>
      </w:rPr>
    </w:lvl>
    <w:lvl w:ilvl="1" w:tplc="0BBCA8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301BC"/>
    <w:multiLevelType w:val="hybridMultilevel"/>
    <w:tmpl w:val="4E20B8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996B38"/>
    <w:multiLevelType w:val="hybridMultilevel"/>
    <w:tmpl w:val="3CF6F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E826D48"/>
    <w:multiLevelType w:val="multilevel"/>
    <w:tmpl w:val="492A2DEE"/>
    <w:lvl w:ilvl="0">
      <w:start w:val="3"/>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006FCA"/>
    <w:multiLevelType w:val="multilevel"/>
    <w:tmpl w:val="C5C0DFA6"/>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7"/>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9A07A7F"/>
    <w:multiLevelType w:val="hybridMultilevel"/>
    <w:tmpl w:val="77461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C4E402E"/>
    <w:multiLevelType w:val="hybridMultilevel"/>
    <w:tmpl w:val="E248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13285C"/>
    <w:multiLevelType w:val="hybridMultilevel"/>
    <w:tmpl w:val="35DC8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E7C1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FDC5F54"/>
    <w:multiLevelType w:val="multilevel"/>
    <w:tmpl w:val="BF0823B8"/>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Letter"/>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1282348"/>
    <w:multiLevelType w:val="multilevel"/>
    <w:tmpl w:val="75944312"/>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5"/>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1962E10"/>
    <w:multiLevelType w:val="hybridMultilevel"/>
    <w:tmpl w:val="FC061A3A"/>
    <w:lvl w:ilvl="0" w:tplc="04090001">
      <w:start w:val="1"/>
      <w:numFmt w:val="bullet"/>
      <w:lvlText w:val=""/>
      <w:lvlJc w:val="left"/>
      <w:pPr>
        <w:ind w:left="1800" w:hanging="360"/>
      </w:pPr>
      <w:rPr>
        <w:rFonts w:ascii="Symbol" w:hAnsi="Symbol" w:hint="default"/>
      </w:rPr>
    </w:lvl>
    <w:lvl w:ilvl="1" w:tplc="76AAD574">
      <w:start w:val="2"/>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99464F"/>
    <w:multiLevelType w:val="hybridMultilevel"/>
    <w:tmpl w:val="291220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BEC2C28"/>
    <w:multiLevelType w:val="hybridMultilevel"/>
    <w:tmpl w:val="0BBCA05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E1F09BF"/>
    <w:multiLevelType w:val="hybridMultilevel"/>
    <w:tmpl w:val="0C8CA4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E873976"/>
    <w:multiLevelType w:val="multilevel"/>
    <w:tmpl w:val="75944312"/>
    <w:lvl w:ilvl="0">
      <w:start w:val="3"/>
      <w:numFmt w:val="decimal"/>
      <w:lvlText w:val="%1."/>
      <w:lvlJc w:val="left"/>
      <w:pPr>
        <w:ind w:left="1080" w:hanging="360"/>
      </w:pPr>
      <w:rPr>
        <w:rFonts w:hint="default"/>
        <w:b/>
      </w:rPr>
    </w:lvl>
    <w:lvl w:ilvl="1">
      <w:start w:val="1"/>
      <w:numFmt w:val="lowerLetter"/>
      <w:lvlText w:val="%2)"/>
      <w:lvlJc w:val="left"/>
      <w:pPr>
        <w:ind w:left="1440" w:hanging="360"/>
      </w:pPr>
      <w:rPr>
        <w:rFonts w:hint="default"/>
        <w:b/>
      </w:rPr>
    </w:lvl>
    <w:lvl w:ilvl="2">
      <w:start w:val="1"/>
      <w:numFmt w:val="lowerLetter"/>
      <w:lvlText w:val="%3)"/>
      <w:lvlJc w:val="left"/>
      <w:pPr>
        <w:ind w:left="1800" w:hanging="360"/>
      </w:pPr>
      <w:rPr>
        <w:rFonts w:hint="default"/>
        <w:b/>
      </w:rPr>
    </w:lvl>
    <w:lvl w:ilvl="3">
      <w:start w:val="5"/>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60DD4CF6"/>
    <w:multiLevelType w:val="hybridMultilevel"/>
    <w:tmpl w:val="7736E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1C40F5"/>
    <w:multiLevelType w:val="multilevel"/>
    <w:tmpl w:val="75944312"/>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5"/>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F4D2ED0"/>
    <w:multiLevelType w:val="hybridMultilevel"/>
    <w:tmpl w:val="C2F26538"/>
    <w:lvl w:ilvl="0" w:tplc="7576C720">
      <w:start w:val="2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64E5A0F"/>
    <w:multiLevelType w:val="hybridMultilevel"/>
    <w:tmpl w:val="0C8CA4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93D79F4"/>
    <w:multiLevelType w:val="multilevel"/>
    <w:tmpl w:val="8E6E74EC"/>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7"/>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C7C798C"/>
    <w:multiLevelType w:val="hybridMultilevel"/>
    <w:tmpl w:val="9CA28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9F19A8"/>
    <w:multiLevelType w:val="multilevel"/>
    <w:tmpl w:val="BE4627D8"/>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F054717"/>
    <w:multiLevelType w:val="hybridMultilevel"/>
    <w:tmpl w:val="E3B2AB28"/>
    <w:lvl w:ilvl="0" w:tplc="269A6974">
      <w:start w:val="6"/>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5"/>
  </w:num>
  <w:num w:numId="4">
    <w:abstractNumId w:val="21"/>
  </w:num>
  <w:num w:numId="5">
    <w:abstractNumId w:val="7"/>
  </w:num>
  <w:num w:numId="6">
    <w:abstractNumId w:val="2"/>
  </w:num>
  <w:num w:numId="7">
    <w:abstractNumId w:val="1"/>
  </w:num>
  <w:num w:numId="8">
    <w:abstractNumId w:val="20"/>
  </w:num>
  <w:num w:numId="9">
    <w:abstractNumId w:val="11"/>
  </w:num>
  <w:num w:numId="10">
    <w:abstractNumId w:val="18"/>
  </w:num>
  <w:num w:numId="11">
    <w:abstractNumId w:val="23"/>
  </w:num>
  <w:num w:numId="12">
    <w:abstractNumId w:val="9"/>
  </w:num>
  <w:num w:numId="13">
    <w:abstractNumId w:val="16"/>
  </w:num>
  <w:num w:numId="14">
    <w:abstractNumId w:val="6"/>
  </w:num>
  <w:num w:numId="15">
    <w:abstractNumId w:val="27"/>
  </w:num>
  <w:num w:numId="16">
    <w:abstractNumId w:val="26"/>
  </w:num>
  <w:num w:numId="17">
    <w:abstractNumId w:val="13"/>
  </w:num>
  <w:num w:numId="18">
    <w:abstractNumId w:val="22"/>
  </w:num>
  <w:num w:numId="19">
    <w:abstractNumId w:val="15"/>
  </w:num>
  <w:num w:numId="20">
    <w:abstractNumId w:val="19"/>
  </w:num>
  <w:num w:numId="21">
    <w:abstractNumId w:val="14"/>
  </w:num>
  <w:num w:numId="22">
    <w:abstractNumId w:val="8"/>
  </w:num>
  <w:num w:numId="23">
    <w:abstractNumId w:val="24"/>
  </w:num>
  <w:num w:numId="24">
    <w:abstractNumId w:val="5"/>
  </w:num>
  <w:num w:numId="25">
    <w:abstractNumId w:val="10"/>
  </w:num>
  <w:num w:numId="26">
    <w:abstractNumId w:val="4"/>
  </w:num>
  <w:num w:numId="27">
    <w:abstractNumId w:val="3"/>
  </w:num>
  <w:num w:numId="28">
    <w:abstractNumId w:val="17"/>
  </w:num>
  <w:num w:numId="2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C14DA1"/>
    <w:rsid w:val="00001ADB"/>
    <w:rsid w:val="00010155"/>
    <w:rsid w:val="00010B8C"/>
    <w:rsid w:val="000124FF"/>
    <w:rsid w:val="00015489"/>
    <w:rsid w:val="0001662F"/>
    <w:rsid w:val="00023218"/>
    <w:rsid w:val="000331FA"/>
    <w:rsid w:val="00035F56"/>
    <w:rsid w:val="000405C9"/>
    <w:rsid w:val="00040B5D"/>
    <w:rsid w:val="00062A09"/>
    <w:rsid w:val="00064AB8"/>
    <w:rsid w:val="00066BEB"/>
    <w:rsid w:val="0006715F"/>
    <w:rsid w:val="000738E0"/>
    <w:rsid w:val="00091ADE"/>
    <w:rsid w:val="00094867"/>
    <w:rsid w:val="00095ECF"/>
    <w:rsid w:val="00097739"/>
    <w:rsid w:val="000A2FE4"/>
    <w:rsid w:val="000E393C"/>
    <w:rsid w:val="000E6171"/>
    <w:rsid w:val="000E7026"/>
    <w:rsid w:val="00103392"/>
    <w:rsid w:val="001041BF"/>
    <w:rsid w:val="00106443"/>
    <w:rsid w:val="00107916"/>
    <w:rsid w:val="0011269D"/>
    <w:rsid w:val="00112CE4"/>
    <w:rsid w:val="00117717"/>
    <w:rsid w:val="0012456B"/>
    <w:rsid w:val="00130DCB"/>
    <w:rsid w:val="00132BCD"/>
    <w:rsid w:val="0013582F"/>
    <w:rsid w:val="00136EA1"/>
    <w:rsid w:val="00143299"/>
    <w:rsid w:val="001470D2"/>
    <w:rsid w:val="001669FF"/>
    <w:rsid w:val="00183472"/>
    <w:rsid w:val="00183F02"/>
    <w:rsid w:val="00187E20"/>
    <w:rsid w:val="00195F9E"/>
    <w:rsid w:val="00197365"/>
    <w:rsid w:val="00197C31"/>
    <w:rsid w:val="001A0301"/>
    <w:rsid w:val="001A2E0F"/>
    <w:rsid w:val="001A40F2"/>
    <w:rsid w:val="001A79BC"/>
    <w:rsid w:val="001B2A7C"/>
    <w:rsid w:val="001D656F"/>
    <w:rsid w:val="001D6DC5"/>
    <w:rsid w:val="001E0888"/>
    <w:rsid w:val="001F2D72"/>
    <w:rsid w:val="001F5598"/>
    <w:rsid w:val="001F6240"/>
    <w:rsid w:val="0020787A"/>
    <w:rsid w:val="0021122B"/>
    <w:rsid w:val="00217445"/>
    <w:rsid w:val="00227AD3"/>
    <w:rsid w:val="00232F19"/>
    <w:rsid w:val="002336BF"/>
    <w:rsid w:val="00233D92"/>
    <w:rsid w:val="00236CD5"/>
    <w:rsid w:val="002405DC"/>
    <w:rsid w:val="002410B8"/>
    <w:rsid w:val="00241964"/>
    <w:rsid w:val="00244E53"/>
    <w:rsid w:val="00247D5E"/>
    <w:rsid w:val="002554DF"/>
    <w:rsid w:val="00260FF1"/>
    <w:rsid w:val="00265509"/>
    <w:rsid w:val="00272E4B"/>
    <w:rsid w:val="00274935"/>
    <w:rsid w:val="002768A4"/>
    <w:rsid w:val="002801EC"/>
    <w:rsid w:val="00287AD7"/>
    <w:rsid w:val="00287E8D"/>
    <w:rsid w:val="00297202"/>
    <w:rsid w:val="002A120A"/>
    <w:rsid w:val="002B2B39"/>
    <w:rsid w:val="002C1A6D"/>
    <w:rsid w:val="002D5490"/>
    <w:rsid w:val="002E0242"/>
    <w:rsid w:val="002F2F57"/>
    <w:rsid w:val="00314366"/>
    <w:rsid w:val="003150F7"/>
    <w:rsid w:val="00320026"/>
    <w:rsid w:val="00322153"/>
    <w:rsid w:val="00323CBF"/>
    <w:rsid w:val="00334A97"/>
    <w:rsid w:val="00350AC6"/>
    <w:rsid w:val="00353DC1"/>
    <w:rsid w:val="00354991"/>
    <w:rsid w:val="00354BBC"/>
    <w:rsid w:val="00356343"/>
    <w:rsid w:val="003660B8"/>
    <w:rsid w:val="00366E5B"/>
    <w:rsid w:val="003770C9"/>
    <w:rsid w:val="00384F25"/>
    <w:rsid w:val="00385BAE"/>
    <w:rsid w:val="00386E4E"/>
    <w:rsid w:val="00394975"/>
    <w:rsid w:val="003B2AEF"/>
    <w:rsid w:val="003B2BA7"/>
    <w:rsid w:val="003B5E0F"/>
    <w:rsid w:val="003B778A"/>
    <w:rsid w:val="003B7E02"/>
    <w:rsid w:val="003C2604"/>
    <w:rsid w:val="003C4C3D"/>
    <w:rsid w:val="003D4B6B"/>
    <w:rsid w:val="003E5594"/>
    <w:rsid w:val="003E5B69"/>
    <w:rsid w:val="003F523B"/>
    <w:rsid w:val="00410003"/>
    <w:rsid w:val="00421977"/>
    <w:rsid w:val="00425651"/>
    <w:rsid w:val="00435549"/>
    <w:rsid w:val="00444638"/>
    <w:rsid w:val="0044631A"/>
    <w:rsid w:val="00446878"/>
    <w:rsid w:val="0045711C"/>
    <w:rsid w:val="00460E14"/>
    <w:rsid w:val="00461356"/>
    <w:rsid w:val="00464CF3"/>
    <w:rsid w:val="00464DAF"/>
    <w:rsid w:val="00466AF7"/>
    <w:rsid w:val="00466F3F"/>
    <w:rsid w:val="00491F66"/>
    <w:rsid w:val="00493BF4"/>
    <w:rsid w:val="00495009"/>
    <w:rsid w:val="00496D59"/>
    <w:rsid w:val="004A5FC7"/>
    <w:rsid w:val="004B1E18"/>
    <w:rsid w:val="004B25D6"/>
    <w:rsid w:val="004B4769"/>
    <w:rsid w:val="004D55CF"/>
    <w:rsid w:val="004D6E3E"/>
    <w:rsid w:val="004E18BE"/>
    <w:rsid w:val="004F1F32"/>
    <w:rsid w:val="005001F7"/>
    <w:rsid w:val="00512AA1"/>
    <w:rsid w:val="00520334"/>
    <w:rsid w:val="00523CAC"/>
    <w:rsid w:val="00531BD9"/>
    <w:rsid w:val="00542A51"/>
    <w:rsid w:val="00547FCD"/>
    <w:rsid w:val="00553694"/>
    <w:rsid w:val="00564324"/>
    <w:rsid w:val="00566FE1"/>
    <w:rsid w:val="0057484A"/>
    <w:rsid w:val="00584810"/>
    <w:rsid w:val="005859DA"/>
    <w:rsid w:val="005916DD"/>
    <w:rsid w:val="005934C2"/>
    <w:rsid w:val="00597F87"/>
    <w:rsid w:val="005A19B2"/>
    <w:rsid w:val="005B12BA"/>
    <w:rsid w:val="005B4137"/>
    <w:rsid w:val="005B4785"/>
    <w:rsid w:val="005C04C5"/>
    <w:rsid w:val="005C11A4"/>
    <w:rsid w:val="005C4410"/>
    <w:rsid w:val="005C44A4"/>
    <w:rsid w:val="005C46B1"/>
    <w:rsid w:val="005D57B2"/>
    <w:rsid w:val="005D590D"/>
    <w:rsid w:val="005F2D22"/>
    <w:rsid w:val="005F5D4B"/>
    <w:rsid w:val="005F6865"/>
    <w:rsid w:val="005F70EF"/>
    <w:rsid w:val="006025CC"/>
    <w:rsid w:val="00603397"/>
    <w:rsid w:val="00612787"/>
    <w:rsid w:val="00616C97"/>
    <w:rsid w:val="00625F14"/>
    <w:rsid w:val="00652204"/>
    <w:rsid w:val="00657019"/>
    <w:rsid w:val="0066310C"/>
    <w:rsid w:val="00667741"/>
    <w:rsid w:val="00680CE1"/>
    <w:rsid w:val="006818F3"/>
    <w:rsid w:val="00687B03"/>
    <w:rsid w:val="00691DCB"/>
    <w:rsid w:val="006970BD"/>
    <w:rsid w:val="006A069E"/>
    <w:rsid w:val="006A16A0"/>
    <w:rsid w:val="006B0D33"/>
    <w:rsid w:val="006C3FB0"/>
    <w:rsid w:val="006C4C11"/>
    <w:rsid w:val="006D36E9"/>
    <w:rsid w:val="006F33E6"/>
    <w:rsid w:val="006F54A3"/>
    <w:rsid w:val="00702568"/>
    <w:rsid w:val="007104C3"/>
    <w:rsid w:val="007153D2"/>
    <w:rsid w:val="0071748E"/>
    <w:rsid w:val="007235C8"/>
    <w:rsid w:val="00735655"/>
    <w:rsid w:val="00741478"/>
    <w:rsid w:val="007508FE"/>
    <w:rsid w:val="00751260"/>
    <w:rsid w:val="00752AAA"/>
    <w:rsid w:val="00754841"/>
    <w:rsid w:val="0076037A"/>
    <w:rsid w:val="007652AE"/>
    <w:rsid w:val="00765D0E"/>
    <w:rsid w:val="0077395D"/>
    <w:rsid w:val="00780481"/>
    <w:rsid w:val="00780FC1"/>
    <w:rsid w:val="00787D43"/>
    <w:rsid w:val="00796742"/>
    <w:rsid w:val="007977F0"/>
    <w:rsid w:val="007A5869"/>
    <w:rsid w:val="007B025C"/>
    <w:rsid w:val="007B7273"/>
    <w:rsid w:val="007C5013"/>
    <w:rsid w:val="007C7486"/>
    <w:rsid w:val="007D0381"/>
    <w:rsid w:val="007D3FEC"/>
    <w:rsid w:val="007E18C5"/>
    <w:rsid w:val="00805962"/>
    <w:rsid w:val="00805B0D"/>
    <w:rsid w:val="00805D6E"/>
    <w:rsid w:val="00806D9F"/>
    <w:rsid w:val="00811F7D"/>
    <w:rsid w:val="00820A25"/>
    <w:rsid w:val="00821C9A"/>
    <w:rsid w:val="00824CD5"/>
    <w:rsid w:val="008261D6"/>
    <w:rsid w:val="00830A5C"/>
    <w:rsid w:val="0083142F"/>
    <w:rsid w:val="008409ED"/>
    <w:rsid w:val="00845C1E"/>
    <w:rsid w:val="00846545"/>
    <w:rsid w:val="00852F0D"/>
    <w:rsid w:val="008532FB"/>
    <w:rsid w:val="00853750"/>
    <w:rsid w:val="008557D3"/>
    <w:rsid w:val="008665CC"/>
    <w:rsid w:val="00896E45"/>
    <w:rsid w:val="008A59E1"/>
    <w:rsid w:val="008A673B"/>
    <w:rsid w:val="008A79D9"/>
    <w:rsid w:val="008B0A79"/>
    <w:rsid w:val="008C0432"/>
    <w:rsid w:val="008C56C0"/>
    <w:rsid w:val="008D0233"/>
    <w:rsid w:val="008D104C"/>
    <w:rsid w:val="008D2077"/>
    <w:rsid w:val="008D47F9"/>
    <w:rsid w:val="008D5E3B"/>
    <w:rsid w:val="008E1490"/>
    <w:rsid w:val="008E254B"/>
    <w:rsid w:val="008E7E9A"/>
    <w:rsid w:val="008F2B35"/>
    <w:rsid w:val="008F2D75"/>
    <w:rsid w:val="008F44EC"/>
    <w:rsid w:val="008F4A34"/>
    <w:rsid w:val="009132A2"/>
    <w:rsid w:val="009279A0"/>
    <w:rsid w:val="009408F8"/>
    <w:rsid w:val="00942883"/>
    <w:rsid w:val="009457B7"/>
    <w:rsid w:val="009564D7"/>
    <w:rsid w:val="00961236"/>
    <w:rsid w:val="00983843"/>
    <w:rsid w:val="00985A12"/>
    <w:rsid w:val="0098624D"/>
    <w:rsid w:val="00990859"/>
    <w:rsid w:val="009C3E8C"/>
    <w:rsid w:val="009C4383"/>
    <w:rsid w:val="009D0C58"/>
    <w:rsid w:val="009D689D"/>
    <w:rsid w:val="009E699E"/>
    <w:rsid w:val="009E7589"/>
    <w:rsid w:val="00A000C1"/>
    <w:rsid w:val="00A054A4"/>
    <w:rsid w:val="00A136D5"/>
    <w:rsid w:val="00A15B0E"/>
    <w:rsid w:val="00A2006D"/>
    <w:rsid w:val="00A214D1"/>
    <w:rsid w:val="00A257C0"/>
    <w:rsid w:val="00A27801"/>
    <w:rsid w:val="00A36499"/>
    <w:rsid w:val="00A45578"/>
    <w:rsid w:val="00A5654D"/>
    <w:rsid w:val="00A636C5"/>
    <w:rsid w:val="00A72380"/>
    <w:rsid w:val="00A76297"/>
    <w:rsid w:val="00A76BCD"/>
    <w:rsid w:val="00A831B6"/>
    <w:rsid w:val="00A94A89"/>
    <w:rsid w:val="00A97767"/>
    <w:rsid w:val="00AA40D6"/>
    <w:rsid w:val="00AA5CD8"/>
    <w:rsid w:val="00AA69EE"/>
    <w:rsid w:val="00AB114B"/>
    <w:rsid w:val="00AD765C"/>
    <w:rsid w:val="00AD7AE6"/>
    <w:rsid w:val="00AE5B33"/>
    <w:rsid w:val="00AE7A88"/>
    <w:rsid w:val="00AF1727"/>
    <w:rsid w:val="00AF3E7B"/>
    <w:rsid w:val="00AF481F"/>
    <w:rsid w:val="00B11ED4"/>
    <w:rsid w:val="00B139D6"/>
    <w:rsid w:val="00B13D0B"/>
    <w:rsid w:val="00B1608A"/>
    <w:rsid w:val="00B167DF"/>
    <w:rsid w:val="00B2156A"/>
    <w:rsid w:val="00B26C68"/>
    <w:rsid w:val="00B270E8"/>
    <w:rsid w:val="00B37F07"/>
    <w:rsid w:val="00B40001"/>
    <w:rsid w:val="00B42EA6"/>
    <w:rsid w:val="00B441EE"/>
    <w:rsid w:val="00B5085B"/>
    <w:rsid w:val="00B5257C"/>
    <w:rsid w:val="00B5512C"/>
    <w:rsid w:val="00B5651C"/>
    <w:rsid w:val="00B57AF1"/>
    <w:rsid w:val="00B62F0F"/>
    <w:rsid w:val="00B64C50"/>
    <w:rsid w:val="00B6672D"/>
    <w:rsid w:val="00B71539"/>
    <w:rsid w:val="00B7557D"/>
    <w:rsid w:val="00B91D98"/>
    <w:rsid w:val="00B95EF8"/>
    <w:rsid w:val="00BA2C2B"/>
    <w:rsid w:val="00BA3E4C"/>
    <w:rsid w:val="00BA52CE"/>
    <w:rsid w:val="00BB4450"/>
    <w:rsid w:val="00BB520C"/>
    <w:rsid w:val="00BB6702"/>
    <w:rsid w:val="00BC621F"/>
    <w:rsid w:val="00BD034D"/>
    <w:rsid w:val="00BE46E4"/>
    <w:rsid w:val="00BF65EE"/>
    <w:rsid w:val="00BF6687"/>
    <w:rsid w:val="00C018BD"/>
    <w:rsid w:val="00C0657F"/>
    <w:rsid w:val="00C11327"/>
    <w:rsid w:val="00C13A6C"/>
    <w:rsid w:val="00C14DA1"/>
    <w:rsid w:val="00C20204"/>
    <w:rsid w:val="00C25E44"/>
    <w:rsid w:val="00C368D8"/>
    <w:rsid w:val="00C378DC"/>
    <w:rsid w:val="00C40BF7"/>
    <w:rsid w:val="00C43821"/>
    <w:rsid w:val="00C43B1E"/>
    <w:rsid w:val="00C46EC0"/>
    <w:rsid w:val="00C47AF6"/>
    <w:rsid w:val="00C55683"/>
    <w:rsid w:val="00C60759"/>
    <w:rsid w:val="00C612BC"/>
    <w:rsid w:val="00C67194"/>
    <w:rsid w:val="00C73957"/>
    <w:rsid w:val="00CA1FC7"/>
    <w:rsid w:val="00CA20E2"/>
    <w:rsid w:val="00CA4C74"/>
    <w:rsid w:val="00CA68BE"/>
    <w:rsid w:val="00CA6DB3"/>
    <w:rsid w:val="00CA743C"/>
    <w:rsid w:val="00CB120C"/>
    <w:rsid w:val="00CB205B"/>
    <w:rsid w:val="00CB4062"/>
    <w:rsid w:val="00CC3032"/>
    <w:rsid w:val="00CC3E19"/>
    <w:rsid w:val="00CC67E3"/>
    <w:rsid w:val="00CD3DEF"/>
    <w:rsid w:val="00CD42E8"/>
    <w:rsid w:val="00CD5168"/>
    <w:rsid w:val="00CD7C80"/>
    <w:rsid w:val="00CE3233"/>
    <w:rsid w:val="00CF5EAC"/>
    <w:rsid w:val="00D0702B"/>
    <w:rsid w:val="00D23B43"/>
    <w:rsid w:val="00D319AE"/>
    <w:rsid w:val="00D35098"/>
    <w:rsid w:val="00D40460"/>
    <w:rsid w:val="00D4638A"/>
    <w:rsid w:val="00D47B5C"/>
    <w:rsid w:val="00D5123F"/>
    <w:rsid w:val="00D62712"/>
    <w:rsid w:val="00D62F58"/>
    <w:rsid w:val="00D80383"/>
    <w:rsid w:val="00D840E7"/>
    <w:rsid w:val="00D923F3"/>
    <w:rsid w:val="00D92F34"/>
    <w:rsid w:val="00DB345C"/>
    <w:rsid w:val="00DC7BA4"/>
    <w:rsid w:val="00DD08A6"/>
    <w:rsid w:val="00DD517A"/>
    <w:rsid w:val="00DE274B"/>
    <w:rsid w:val="00DE75B6"/>
    <w:rsid w:val="00DE7801"/>
    <w:rsid w:val="00DE7CD9"/>
    <w:rsid w:val="00DF079B"/>
    <w:rsid w:val="00DF1A9F"/>
    <w:rsid w:val="00DF3CD2"/>
    <w:rsid w:val="00DF4BEB"/>
    <w:rsid w:val="00DF5E4F"/>
    <w:rsid w:val="00E10A91"/>
    <w:rsid w:val="00E163AC"/>
    <w:rsid w:val="00E2123C"/>
    <w:rsid w:val="00E2411B"/>
    <w:rsid w:val="00E25BF5"/>
    <w:rsid w:val="00E25D6A"/>
    <w:rsid w:val="00E331E8"/>
    <w:rsid w:val="00E4117F"/>
    <w:rsid w:val="00E4311E"/>
    <w:rsid w:val="00E43FD5"/>
    <w:rsid w:val="00E61206"/>
    <w:rsid w:val="00E66394"/>
    <w:rsid w:val="00E87984"/>
    <w:rsid w:val="00E93666"/>
    <w:rsid w:val="00E93E4C"/>
    <w:rsid w:val="00EA2981"/>
    <w:rsid w:val="00EA3EE4"/>
    <w:rsid w:val="00EA4E7A"/>
    <w:rsid w:val="00EA5403"/>
    <w:rsid w:val="00EC0157"/>
    <w:rsid w:val="00EC4993"/>
    <w:rsid w:val="00EC5747"/>
    <w:rsid w:val="00EC7FE8"/>
    <w:rsid w:val="00ED1A6C"/>
    <w:rsid w:val="00ED2B37"/>
    <w:rsid w:val="00EE0B4B"/>
    <w:rsid w:val="00EE46CB"/>
    <w:rsid w:val="00EF2151"/>
    <w:rsid w:val="00F15509"/>
    <w:rsid w:val="00F2254A"/>
    <w:rsid w:val="00F27A95"/>
    <w:rsid w:val="00F27D31"/>
    <w:rsid w:val="00F32619"/>
    <w:rsid w:val="00F355DA"/>
    <w:rsid w:val="00F3711F"/>
    <w:rsid w:val="00F449FE"/>
    <w:rsid w:val="00F518C5"/>
    <w:rsid w:val="00F57497"/>
    <w:rsid w:val="00F57C37"/>
    <w:rsid w:val="00F61289"/>
    <w:rsid w:val="00F61CB5"/>
    <w:rsid w:val="00F630DE"/>
    <w:rsid w:val="00F64D81"/>
    <w:rsid w:val="00F64E71"/>
    <w:rsid w:val="00F716B3"/>
    <w:rsid w:val="00F77680"/>
    <w:rsid w:val="00F91FDD"/>
    <w:rsid w:val="00F94432"/>
    <w:rsid w:val="00FA5F87"/>
    <w:rsid w:val="00FB622F"/>
    <w:rsid w:val="00FB7AF3"/>
    <w:rsid w:val="00FC1527"/>
    <w:rsid w:val="00FD59A6"/>
    <w:rsid w:val="00FE3B17"/>
    <w:rsid w:val="00FE785A"/>
    <w:rsid w:val="00FF7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A1"/>
    <w:rPr>
      <w:rFonts w:ascii="Times New Roman" w:eastAsia="Times New Roman" w:hAnsi="Times New Roman"/>
      <w:sz w:val="24"/>
      <w:szCs w:val="24"/>
    </w:rPr>
  </w:style>
  <w:style w:type="paragraph" w:styleId="Heading1">
    <w:name w:val="heading 1"/>
    <w:basedOn w:val="Normal"/>
    <w:next w:val="Normal"/>
    <w:link w:val="Heading1Char"/>
    <w:qFormat/>
    <w:rsid w:val="00227AD3"/>
    <w:pPr>
      <w:keepNext/>
      <w:jc w:val="center"/>
      <w:outlineLvl w:val="0"/>
    </w:pPr>
    <w:rPr>
      <w:rFonts w:ascii="AGaramond Bold" w:hAnsi="AGaramond Bold"/>
      <w:sz w:val="48"/>
    </w:rPr>
  </w:style>
  <w:style w:type="paragraph" w:styleId="Heading2">
    <w:name w:val="heading 2"/>
    <w:basedOn w:val="Normal"/>
    <w:next w:val="Normal"/>
    <w:link w:val="Heading2Char"/>
    <w:qFormat/>
    <w:rsid w:val="00C14DA1"/>
    <w:pPr>
      <w:keepNext/>
      <w:jc w:val="center"/>
      <w:outlineLvl w:val="1"/>
    </w:pPr>
    <w:rPr>
      <w:rFonts w:ascii="AGaramond Bold" w:hAnsi="AGaramond Bold"/>
      <w:b/>
      <w:bCs/>
      <w:sz w:val="48"/>
    </w:rPr>
  </w:style>
  <w:style w:type="paragraph" w:styleId="Heading3">
    <w:name w:val="heading 3"/>
    <w:basedOn w:val="Normal"/>
    <w:next w:val="Normal"/>
    <w:link w:val="Heading3Char"/>
    <w:semiHidden/>
    <w:unhideWhenUsed/>
    <w:qFormat/>
    <w:rsid w:val="00227AD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14DA1"/>
    <w:rPr>
      <w:rFonts w:ascii="AGaramond Bold" w:eastAsia="Times New Roman" w:hAnsi="AGaramond Bold" w:cs="Times New Roman"/>
      <w:b/>
      <w:bCs/>
      <w:sz w:val="48"/>
      <w:szCs w:val="24"/>
    </w:rPr>
  </w:style>
  <w:style w:type="paragraph" w:styleId="Footer">
    <w:name w:val="footer"/>
    <w:basedOn w:val="Normal"/>
    <w:link w:val="FooterChar"/>
    <w:rsid w:val="00C14DA1"/>
    <w:pPr>
      <w:tabs>
        <w:tab w:val="center" w:pos="4320"/>
        <w:tab w:val="right" w:pos="8640"/>
      </w:tabs>
    </w:pPr>
  </w:style>
  <w:style w:type="character" w:customStyle="1" w:styleId="FooterChar">
    <w:name w:val="Footer Char"/>
    <w:link w:val="Footer"/>
    <w:rsid w:val="00C14DA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14DA1"/>
    <w:rPr>
      <w:rFonts w:ascii="Tahoma" w:hAnsi="Tahoma" w:cs="Tahoma"/>
      <w:sz w:val="16"/>
      <w:szCs w:val="16"/>
    </w:rPr>
  </w:style>
  <w:style w:type="character" w:customStyle="1" w:styleId="BalloonTextChar">
    <w:name w:val="Balloon Text Char"/>
    <w:link w:val="BalloonText"/>
    <w:uiPriority w:val="99"/>
    <w:semiHidden/>
    <w:rsid w:val="00C14DA1"/>
    <w:rPr>
      <w:rFonts w:ascii="Tahoma" w:eastAsia="Times New Roman" w:hAnsi="Tahoma" w:cs="Tahoma"/>
      <w:sz w:val="16"/>
      <w:szCs w:val="16"/>
    </w:rPr>
  </w:style>
  <w:style w:type="character" w:customStyle="1" w:styleId="Heading1Char">
    <w:name w:val="Heading 1 Char"/>
    <w:link w:val="Heading1"/>
    <w:rsid w:val="00227AD3"/>
    <w:rPr>
      <w:rFonts w:ascii="AGaramond Bold" w:eastAsia="Times New Roman" w:hAnsi="AGaramond Bold" w:cs="Times New Roman"/>
      <w:sz w:val="48"/>
      <w:szCs w:val="24"/>
    </w:rPr>
  </w:style>
  <w:style w:type="character" w:customStyle="1" w:styleId="Heading3Char">
    <w:name w:val="Heading 3 Char"/>
    <w:link w:val="Heading3"/>
    <w:semiHidden/>
    <w:rsid w:val="00227AD3"/>
    <w:rPr>
      <w:rFonts w:ascii="Cambria" w:eastAsia="Times New Roman" w:hAnsi="Cambria" w:cs="Times New Roman"/>
      <w:b/>
      <w:bCs/>
      <w:sz w:val="26"/>
      <w:szCs w:val="26"/>
    </w:rPr>
  </w:style>
  <w:style w:type="paragraph" w:styleId="Header">
    <w:name w:val="header"/>
    <w:basedOn w:val="Normal"/>
    <w:link w:val="HeaderChar"/>
    <w:uiPriority w:val="99"/>
    <w:rsid w:val="00227AD3"/>
    <w:pPr>
      <w:tabs>
        <w:tab w:val="center" w:pos="4320"/>
        <w:tab w:val="right" w:pos="8640"/>
      </w:tabs>
    </w:pPr>
  </w:style>
  <w:style w:type="character" w:customStyle="1" w:styleId="HeaderChar">
    <w:name w:val="Header Char"/>
    <w:link w:val="Header"/>
    <w:uiPriority w:val="99"/>
    <w:rsid w:val="00227AD3"/>
    <w:rPr>
      <w:rFonts w:ascii="Times New Roman" w:eastAsia="Times New Roman" w:hAnsi="Times New Roman" w:cs="Times New Roman"/>
      <w:sz w:val="24"/>
      <w:szCs w:val="24"/>
    </w:rPr>
  </w:style>
  <w:style w:type="character" w:styleId="Hyperlink">
    <w:name w:val="Hyperlink"/>
    <w:uiPriority w:val="99"/>
    <w:rsid w:val="00227AD3"/>
    <w:rPr>
      <w:color w:val="0000FF"/>
      <w:u w:val="single"/>
    </w:rPr>
  </w:style>
  <w:style w:type="character" w:customStyle="1" w:styleId="EmailStyle191">
    <w:name w:val="EmailStyle191"/>
    <w:semiHidden/>
    <w:rsid w:val="00227AD3"/>
    <w:rPr>
      <w:rFonts w:ascii="Georgia" w:hAnsi="Georgia"/>
      <w:b w:val="0"/>
      <w:bCs w:val="0"/>
      <w:i w:val="0"/>
      <w:iCs w:val="0"/>
      <w:strike w:val="0"/>
      <w:color w:val="0000FF"/>
      <w:sz w:val="20"/>
      <w:szCs w:val="20"/>
      <w:u w:val="none"/>
    </w:rPr>
  </w:style>
  <w:style w:type="paragraph" w:customStyle="1" w:styleId="ctext">
    <w:name w:val="ctext"/>
    <w:basedOn w:val="Normal"/>
    <w:rsid w:val="00227AD3"/>
    <w:pPr>
      <w:autoSpaceDE w:val="0"/>
      <w:autoSpaceDN w:val="0"/>
      <w:spacing w:before="120" w:after="60"/>
    </w:pPr>
    <w:rPr>
      <w:rFonts w:ascii="LLBKHM+Arial" w:hAnsi="LLBKHM+Arial"/>
    </w:rPr>
  </w:style>
  <w:style w:type="paragraph" w:styleId="FootnoteText">
    <w:name w:val="footnote text"/>
    <w:basedOn w:val="Normal"/>
    <w:link w:val="FootnoteTextChar"/>
    <w:semiHidden/>
    <w:rsid w:val="00227AD3"/>
    <w:rPr>
      <w:sz w:val="20"/>
      <w:szCs w:val="20"/>
    </w:rPr>
  </w:style>
  <w:style w:type="character" w:customStyle="1" w:styleId="FootnoteTextChar">
    <w:name w:val="Footnote Text Char"/>
    <w:link w:val="FootnoteText"/>
    <w:semiHidden/>
    <w:rsid w:val="00227AD3"/>
    <w:rPr>
      <w:rFonts w:ascii="Times New Roman" w:eastAsia="Times New Roman" w:hAnsi="Times New Roman" w:cs="Times New Roman"/>
      <w:sz w:val="20"/>
      <w:szCs w:val="20"/>
    </w:rPr>
  </w:style>
  <w:style w:type="character" w:styleId="FootnoteReference">
    <w:name w:val="footnote reference"/>
    <w:semiHidden/>
    <w:rsid w:val="00227AD3"/>
    <w:rPr>
      <w:vertAlign w:val="superscript"/>
    </w:rPr>
  </w:style>
  <w:style w:type="character" w:styleId="PageNumber">
    <w:name w:val="page number"/>
    <w:basedOn w:val="DefaultParagraphFont"/>
    <w:rsid w:val="00227AD3"/>
  </w:style>
  <w:style w:type="paragraph" w:styleId="BodyText">
    <w:name w:val="Body Text"/>
    <w:basedOn w:val="Normal"/>
    <w:link w:val="BodyTextChar"/>
    <w:rsid w:val="00227AD3"/>
    <w:pPr>
      <w:jc w:val="center"/>
    </w:pPr>
    <w:rPr>
      <w:rFonts w:ascii="Comic Sans MS" w:hAnsi="Comic Sans MS"/>
      <w:b/>
      <w:szCs w:val="20"/>
    </w:rPr>
  </w:style>
  <w:style w:type="character" w:customStyle="1" w:styleId="BodyTextChar">
    <w:name w:val="Body Text Char"/>
    <w:link w:val="BodyText"/>
    <w:rsid w:val="00227AD3"/>
    <w:rPr>
      <w:rFonts w:ascii="Comic Sans MS" w:eastAsia="Times New Roman" w:hAnsi="Comic Sans MS" w:cs="Times New Roman"/>
      <w:b/>
      <w:sz w:val="24"/>
      <w:szCs w:val="20"/>
    </w:rPr>
  </w:style>
  <w:style w:type="paragraph" w:styleId="ListParagraph">
    <w:name w:val="List Paragraph"/>
    <w:basedOn w:val="Normal"/>
    <w:uiPriority w:val="34"/>
    <w:qFormat/>
    <w:rsid w:val="00227AD3"/>
    <w:pPr>
      <w:ind w:left="720"/>
    </w:pPr>
  </w:style>
  <w:style w:type="paragraph" w:customStyle="1" w:styleId="listparagraph0">
    <w:name w:val="listparagraph"/>
    <w:basedOn w:val="Normal"/>
    <w:rsid w:val="00227AD3"/>
    <w:pPr>
      <w:ind w:left="720"/>
    </w:pPr>
    <w:rPr>
      <w:rFonts w:eastAsia="Calibri"/>
    </w:rPr>
  </w:style>
  <w:style w:type="numbering" w:customStyle="1" w:styleId="Style1">
    <w:name w:val="Style1"/>
    <w:rsid w:val="00227AD3"/>
    <w:pPr>
      <w:numPr>
        <w:numId w:val="1"/>
      </w:numPr>
    </w:pPr>
  </w:style>
  <w:style w:type="paragraph" w:customStyle="1" w:styleId="Default">
    <w:name w:val="Default"/>
    <w:basedOn w:val="Normal"/>
    <w:rsid w:val="00227AD3"/>
    <w:pPr>
      <w:autoSpaceDE w:val="0"/>
      <w:autoSpaceDN w:val="0"/>
    </w:pPr>
    <w:rPr>
      <w:rFonts w:ascii="Arial" w:eastAsia="Calibri" w:hAnsi="Arial" w:cs="Arial"/>
      <w:color w:val="000000"/>
    </w:rPr>
  </w:style>
  <w:style w:type="character" w:styleId="FollowedHyperlink">
    <w:name w:val="FollowedHyperlink"/>
    <w:uiPriority w:val="99"/>
    <w:rsid w:val="00227AD3"/>
    <w:rPr>
      <w:color w:val="800080"/>
      <w:u w:val="single"/>
    </w:rPr>
  </w:style>
  <w:style w:type="paragraph" w:styleId="BodyText2">
    <w:name w:val="Body Text 2"/>
    <w:basedOn w:val="Normal"/>
    <w:link w:val="BodyText2Char"/>
    <w:rsid w:val="00227AD3"/>
    <w:rPr>
      <w:rFonts w:ascii="Bookman Old Style" w:hAnsi="Bookman Old Style"/>
      <w:b/>
      <w:sz w:val="22"/>
      <w:szCs w:val="20"/>
    </w:rPr>
  </w:style>
  <w:style w:type="character" w:customStyle="1" w:styleId="BodyText2Char">
    <w:name w:val="Body Text 2 Char"/>
    <w:link w:val="BodyText2"/>
    <w:rsid w:val="00227AD3"/>
    <w:rPr>
      <w:rFonts w:ascii="Bookman Old Style" w:eastAsia="Times New Roman" w:hAnsi="Bookman Old Style" w:cs="Times New Roman"/>
      <w:b/>
      <w:szCs w:val="20"/>
    </w:rPr>
  </w:style>
  <w:style w:type="paragraph" w:styleId="Title">
    <w:name w:val="Title"/>
    <w:basedOn w:val="Normal"/>
    <w:link w:val="TitleChar"/>
    <w:qFormat/>
    <w:rsid w:val="00227AD3"/>
    <w:pPr>
      <w:jc w:val="center"/>
    </w:pPr>
    <w:rPr>
      <w:rFonts w:ascii="Bookman Old Style" w:hAnsi="Bookman Old Style"/>
      <w:b/>
      <w:sz w:val="22"/>
      <w:szCs w:val="20"/>
    </w:rPr>
  </w:style>
  <w:style w:type="character" w:customStyle="1" w:styleId="TitleChar">
    <w:name w:val="Title Char"/>
    <w:link w:val="Title"/>
    <w:rsid w:val="00227AD3"/>
    <w:rPr>
      <w:rFonts w:ascii="Bookman Old Style" w:eastAsia="Times New Roman" w:hAnsi="Bookman Old Style" w:cs="Times New Roman"/>
      <w:b/>
      <w:szCs w:val="20"/>
    </w:rPr>
  </w:style>
  <w:style w:type="paragraph" w:customStyle="1" w:styleId="Pa1">
    <w:name w:val="Pa1"/>
    <w:basedOn w:val="Default"/>
    <w:next w:val="Default"/>
    <w:uiPriority w:val="99"/>
    <w:rsid w:val="00227AD3"/>
    <w:pPr>
      <w:adjustRightInd w:val="0"/>
      <w:spacing w:line="241" w:lineRule="atLeast"/>
    </w:pPr>
    <w:rPr>
      <w:rFonts w:ascii="Myriad Pro" w:eastAsia="Times New Roman" w:hAnsi="Myriad Pro" w:cs="Times New Roman"/>
      <w:color w:val="auto"/>
    </w:rPr>
  </w:style>
  <w:style w:type="character" w:customStyle="1" w:styleId="A2">
    <w:name w:val="A2"/>
    <w:uiPriority w:val="99"/>
    <w:rsid w:val="00227AD3"/>
    <w:rPr>
      <w:rFonts w:cs="Myriad Pro"/>
      <w:b/>
      <w:bCs/>
      <w:color w:val="000000"/>
      <w:sz w:val="48"/>
      <w:szCs w:val="48"/>
    </w:rPr>
  </w:style>
  <w:style w:type="character" w:styleId="Emphasis">
    <w:name w:val="Emphasis"/>
    <w:uiPriority w:val="20"/>
    <w:qFormat/>
    <w:rsid w:val="00227AD3"/>
    <w:rPr>
      <w:i/>
      <w:iCs/>
    </w:rPr>
  </w:style>
  <w:style w:type="character" w:styleId="CommentReference">
    <w:name w:val="annotation reference"/>
    <w:rsid w:val="00227AD3"/>
    <w:rPr>
      <w:sz w:val="16"/>
      <w:szCs w:val="16"/>
    </w:rPr>
  </w:style>
  <w:style w:type="paragraph" w:styleId="CommentText">
    <w:name w:val="annotation text"/>
    <w:basedOn w:val="Normal"/>
    <w:link w:val="CommentTextChar"/>
    <w:rsid w:val="00227AD3"/>
    <w:rPr>
      <w:sz w:val="20"/>
      <w:szCs w:val="20"/>
    </w:rPr>
  </w:style>
  <w:style w:type="character" w:customStyle="1" w:styleId="CommentTextChar">
    <w:name w:val="Comment Text Char"/>
    <w:link w:val="CommentText"/>
    <w:rsid w:val="00227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27AD3"/>
    <w:rPr>
      <w:b/>
      <w:bCs/>
    </w:rPr>
  </w:style>
  <w:style w:type="character" w:customStyle="1" w:styleId="CommentSubjectChar">
    <w:name w:val="Comment Subject Char"/>
    <w:link w:val="CommentSubject"/>
    <w:rsid w:val="00227AD3"/>
    <w:rPr>
      <w:rFonts w:ascii="Times New Roman" w:eastAsia="Times New Roman" w:hAnsi="Times New Roman" w:cs="Times New Roman"/>
      <w:b/>
      <w:bCs/>
      <w:sz w:val="20"/>
      <w:szCs w:val="20"/>
    </w:rPr>
  </w:style>
  <w:style w:type="table" w:styleId="TableGrid">
    <w:name w:val="Table Grid"/>
    <w:basedOn w:val="TableNormal"/>
    <w:uiPriority w:val="59"/>
    <w:rsid w:val="00227AD3"/>
    <w:rPr>
      <w:rFonts w:ascii="Arial" w:hAnsi="Arial" w:cs="Arial"/>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unhideWhenUsed/>
    <w:rsid w:val="00227AD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227A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27AD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227AD3"/>
    <w:rPr>
      <w:rFonts w:ascii="Arial" w:eastAsia="Times New Roman" w:hAnsi="Arial" w:cs="Arial"/>
      <w:vanish/>
      <w:sz w:val="16"/>
      <w:szCs w:val="16"/>
    </w:rPr>
  </w:style>
  <w:style w:type="paragraph" w:customStyle="1" w:styleId="font5">
    <w:name w:val="font5"/>
    <w:basedOn w:val="Normal"/>
    <w:rsid w:val="00227AD3"/>
    <w:pPr>
      <w:spacing w:before="100" w:beforeAutospacing="1" w:after="100" w:afterAutospacing="1"/>
    </w:pPr>
    <w:rPr>
      <w:rFonts w:ascii="Arial" w:hAnsi="Arial" w:cs="Arial"/>
      <w:b/>
      <w:bCs/>
      <w:color w:val="000000"/>
      <w:sz w:val="16"/>
      <w:szCs w:val="16"/>
    </w:rPr>
  </w:style>
  <w:style w:type="paragraph" w:customStyle="1" w:styleId="font6">
    <w:name w:val="font6"/>
    <w:basedOn w:val="Normal"/>
    <w:rsid w:val="00227AD3"/>
    <w:pPr>
      <w:spacing w:before="100" w:beforeAutospacing="1" w:after="100" w:afterAutospacing="1"/>
    </w:pPr>
    <w:rPr>
      <w:rFonts w:ascii="Arial" w:hAnsi="Arial" w:cs="Arial"/>
      <w:b/>
      <w:bCs/>
      <w:color w:val="000000"/>
      <w:sz w:val="16"/>
      <w:szCs w:val="16"/>
    </w:rPr>
  </w:style>
  <w:style w:type="paragraph" w:customStyle="1" w:styleId="xl65">
    <w:name w:val="xl65"/>
    <w:basedOn w:val="Normal"/>
    <w:rsid w:val="00227AD3"/>
    <w:pPr>
      <w:pBdr>
        <w:right w:val="single" w:sz="8" w:space="0" w:color="auto"/>
      </w:pBdr>
      <w:shd w:val="clear" w:color="000000" w:fill="DDD9C3"/>
      <w:spacing w:before="100" w:beforeAutospacing="1" w:after="100" w:afterAutospacing="1"/>
      <w:jc w:val="center"/>
      <w:textAlignment w:val="center"/>
    </w:pPr>
    <w:rPr>
      <w:rFonts w:ascii="Arial" w:hAnsi="Arial" w:cs="Arial"/>
      <w:b/>
      <w:bCs/>
      <w:color w:val="000000"/>
      <w:sz w:val="16"/>
      <w:szCs w:val="16"/>
    </w:rPr>
  </w:style>
  <w:style w:type="paragraph" w:customStyle="1" w:styleId="xl66">
    <w:name w:val="xl66"/>
    <w:basedOn w:val="Normal"/>
    <w:rsid w:val="00227AD3"/>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Normal"/>
    <w:rsid w:val="00227AD3"/>
    <w:pPr>
      <w:pBdr>
        <w:top w:val="single" w:sz="8" w:space="0" w:color="auto"/>
        <w:left w:val="single" w:sz="8" w:space="0" w:color="auto"/>
        <w:right w:val="single" w:sz="8"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68">
    <w:name w:val="xl68"/>
    <w:basedOn w:val="Normal"/>
    <w:rsid w:val="00227AD3"/>
    <w:pPr>
      <w:spacing w:before="100" w:beforeAutospacing="1" w:after="100" w:afterAutospacing="1"/>
      <w:textAlignment w:val="center"/>
    </w:pPr>
  </w:style>
  <w:style w:type="paragraph" w:customStyle="1" w:styleId="xl69">
    <w:name w:val="xl69"/>
    <w:basedOn w:val="Normal"/>
    <w:rsid w:val="00227AD3"/>
    <w:pPr>
      <w:spacing w:before="100" w:beforeAutospacing="1" w:after="100" w:afterAutospacing="1"/>
      <w:textAlignment w:val="center"/>
    </w:pPr>
  </w:style>
  <w:style w:type="paragraph" w:customStyle="1" w:styleId="xl70">
    <w:name w:val="xl70"/>
    <w:basedOn w:val="Normal"/>
    <w:rsid w:val="00227AD3"/>
    <w:pPr>
      <w:pBdr>
        <w:top w:val="single" w:sz="8" w:space="0" w:color="auto"/>
        <w:left w:val="single" w:sz="4" w:space="0" w:color="auto"/>
        <w:right w:val="single" w:sz="8"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71">
    <w:name w:val="xl71"/>
    <w:basedOn w:val="Normal"/>
    <w:rsid w:val="00227AD3"/>
    <w:pPr>
      <w:pBdr>
        <w:top w:val="single" w:sz="8" w:space="0" w:color="auto"/>
        <w:left w:val="single" w:sz="8" w:space="0" w:color="auto"/>
        <w:right w:val="single" w:sz="4"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72">
    <w:name w:val="xl72"/>
    <w:basedOn w:val="Normal"/>
    <w:rsid w:val="00227AD3"/>
    <w:pPr>
      <w:spacing w:before="100" w:beforeAutospacing="1" w:after="100" w:afterAutospacing="1"/>
      <w:textAlignment w:val="center"/>
    </w:pPr>
    <w:rPr>
      <w:rFonts w:ascii="Arial" w:hAnsi="Arial" w:cs="Arial"/>
      <w:sz w:val="16"/>
      <w:szCs w:val="16"/>
    </w:rPr>
  </w:style>
  <w:style w:type="paragraph" w:customStyle="1" w:styleId="xl73">
    <w:name w:val="xl73"/>
    <w:basedOn w:val="Normal"/>
    <w:rsid w:val="00227AD3"/>
    <w:pPr>
      <w:pBdr>
        <w:top w:val="single" w:sz="8" w:space="0" w:color="auto"/>
        <w:left w:val="single" w:sz="8" w:space="0" w:color="auto"/>
        <w:right w:val="single" w:sz="8" w:space="0" w:color="auto"/>
      </w:pBdr>
      <w:shd w:val="clear" w:color="000000" w:fill="DDD9C3"/>
      <w:spacing w:before="100" w:beforeAutospacing="1" w:after="100" w:afterAutospacing="1"/>
      <w:textAlignment w:val="center"/>
    </w:pPr>
    <w:rPr>
      <w:rFonts w:ascii="Arial" w:hAnsi="Arial" w:cs="Arial"/>
      <w:sz w:val="16"/>
      <w:szCs w:val="16"/>
    </w:rPr>
  </w:style>
  <w:style w:type="paragraph" w:customStyle="1" w:styleId="xl74">
    <w:name w:val="xl74"/>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6">
    <w:name w:val="xl76"/>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9">
    <w:name w:val="xl79"/>
    <w:basedOn w:val="Normal"/>
    <w:rsid w:val="00227AD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0">
    <w:name w:val="xl80"/>
    <w:basedOn w:val="Normal"/>
    <w:rsid w:val="00227AD3"/>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Normal"/>
    <w:rsid w:val="00227AD3"/>
    <w:pPr>
      <w:pBdr>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2">
    <w:name w:val="xl82"/>
    <w:basedOn w:val="Normal"/>
    <w:rsid w:val="00227AD3"/>
    <w:pPr>
      <w:pBdr>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3">
    <w:name w:val="xl83"/>
    <w:basedOn w:val="Normal"/>
    <w:rsid w:val="00227AD3"/>
    <w:pPr>
      <w:spacing w:before="100" w:beforeAutospacing="1" w:after="100" w:afterAutospacing="1"/>
      <w:jc w:val="center"/>
      <w:textAlignment w:val="center"/>
    </w:pPr>
    <w:rPr>
      <w:rFonts w:ascii="Arial" w:hAnsi="Arial" w:cs="Arial"/>
      <w:b/>
      <w:bCs/>
      <w:color w:val="000000"/>
      <w:sz w:val="16"/>
      <w:szCs w:val="16"/>
    </w:rPr>
  </w:style>
  <w:style w:type="paragraph" w:customStyle="1" w:styleId="xl84">
    <w:name w:val="xl84"/>
    <w:basedOn w:val="Normal"/>
    <w:rsid w:val="00227AD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5">
    <w:name w:val="xl85"/>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
    <w:rsid w:val="00227AD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jc w:val="center"/>
      <w:textAlignment w:val="center"/>
    </w:pPr>
    <w:rPr>
      <w:rFonts w:ascii="Arial" w:hAnsi="Arial" w:cs="Arial"/>
      <w:b/>
      <w:bCs/>
      <w:color w:val="000000"/>
      <w:sz w:val="16"/>
      <w:szCs w:val="16"/>
    </w:rPr>
  </w:style>
  <w:style w:type="paragraph" w:customStyle="1" w:styleId="xl88">
    <w:name w:val="xl88"/>
    <w:basedOn w:val="Normal"/>
    <w:rsid w:val="00227AD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9">
    <w:name w:val="xl89"/>
    <w:basedOn w:val="Normal"/>
    <w:rsid w:val="00227AD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Normal"/>
    <w:rsid w:val="00227AD3"/>
    <w:pPr>
      <w:pBdr>
        <w:top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rsid w:val="00227AD3"/>
    <w:pPr>
      <w:pBdr>
        <w:top w:val="single" w:sz="8" w:space="0" w:color="auto"/>
        <w:left w:val="single" w:sz="4" w:space="0" w:color="auto"/>
        <w:bottom w:val="single" w:sz="8" w:space="0" w:color="auto"/>
        <w:right w:val="single" w:sz="8" w:space="0" w:color="auto"/>
      </w:pBdr>
      <w:shd w:val="thinDiagCross" w:color="000000" w:fill="auto"/>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9">
    <w:name w:val="xl99"/>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2">
    <w:name w:val="xl102"/>
    <w:basedOn w:val="Normal"/>
    <w:rsid w:val="00227AD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4">
    <w:name w:val="xl104"/>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5">
    <w:name w:val="xl105"/>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6">
    <w:name w:val="xl106"/>
    <w:basedOn w:val="Normal"/>
    <w:rsid w:val="00227AD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227AD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8">
    <w:name w:val="xl108"/>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textAlignment w:val="center"/>
    </w:pPr>
    <w:rPr>
      <w:rFonts w:ascii="Arial" w:hAnsi="Arial" w:cs="Arial"/>
      <w:b/>
      <w:bCs/>
      <w:color w:val="000000"/>
      <w:sz w:val="16"/>
      <w:szCs w:val="16"/>
    </w:rPr>
  </w:style>
  <w:style w:type="paragraph" w:customStyle="1" w:styleId="xl109">
    <w:name w:val="xl109"/>
    <w:basedOn w:val="Normal"/>
    <w:rsid w:val="00227AD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8"/>
      <w:szCs w:val="18"/>
    </w:rPr>
  </w:style>
  <w:style w:type="paragraph" w:customStyle="1" w:styleId="xl110">
    <w:name w:val="xl110"/>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textAlignment w:val="center"/>
    </w:pPr>
    <w:rPr>
      <w:rFonts w:ascii="Arial" w:hAnsi="Arial" w:cs="Arial"/>
      <w:color w:val="000000"/>
      <w:sz w:val="16"/>
      <w:szCs w:val="16"/>
    </w:rPr>
  </w:style>
  <w:style w:type="paragraph" w:customStyle="1" w:styleId="xl111">
    <w:name w:val="xl111"/>
    <w:basedOn w:val="Normal"/>
    <w:rsid w:val="00227AD3"/>
    <w:pPr>
      <w:pBdr>
        <w:top w:val="single" w:sz="8" w:space="0" w:color="auto"/>
        <w:left w:val="single" w:sz="4" w:space="0" w:color="auto"/>
        <w:bottom w:val="single" w:sz="8" w:space="0" w:color="auto"/>
        <w:right w:val="single" w:sz="4" w:space="0" w:color="auto"/>
      </w:pBdr>
      <w:shd w:val="thinDiagCross" w:color="000000" w:fill="auto"/>
      <w:spacing w:before="100" w:beforeAutospacing="1" w:after="100" w:afterAutospacing="1"/>
      <w:jc w:val="center"/>
      <w:textAlignment w:val="center"/>
    </w:pPr>
    <w:rPr>
      <w:rFonts w:ascii="Arial" w:hAnsi="Arial" w:cs="Arial"/>
      <w:color w:val="000000"/>
      <w:sz w:val="16"/>
      <w:szCs w:val="16"/>
    </w:rPr>
  </w:style>
  <w:style w:type="paragraph" w:customStyle="1" w:styleId="xl112">
    <w:name w:val="xl112"/>
    <w:basedOn w:val="Normal"/>
    <w:rsid w:val="00227AD3"/>
    <w:pPr>
      <w:pBdr>
        <w:top w:val="single" w:sz="8" w:space="0" w:color="auto"/>
        <w:left w:val="single" w:sz="4" w:space="0" w:color="auto"/>
        <w:bottom w:val="single" w:sz="8" w:space="0" w:color="auto"/>
        <w:right w:val="single" w:sz="8" w:space="0" w:color="auto"/>
      </w:pBdr>
      <w:shd w:val="thinDiagCross" w:color="000000" w:fill="auto"/>
      <w:spacing w:before="100" w:beforeAutospacing="1" w:after="100" w:afterAutospacing="1"/>
      <w:jc w:val="center"/>
      <w:textAlignment w:val="center"/>
    </w:pPr>
    <w:rPr>
      <w:rFonts w:ascii="Arial" w:hAnsi="Arial" w:cs="Arial"/>
      <w:color w:val="000000"/>
      <w:sz w:val="16"/>
      <w:szCs w:val="16"/>
    </w:rPr>
  </w:style>
  <w:style w:type="paragraph" w:customStyle="1" w:styleId="xl113">
    <w:name w:val="xl113"/>
    <w:basedOn w:val="Normal"/>
    <w:rsid w:val="00227AD3"/>
    <w:pPr>
      <w:pBdr>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227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6">
    <w:name w:val="xl116"/>
    <w:basedOn w:val="Normal"/>
    <w:rsid w:val="00227A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
    <w:rsid w:val="00227AD3"/>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sz w:val="16"/>
      <w:szCs w:val="16"/>
    </w:rPr>
  </w:style>
  <w:style w:type="paragraph" w:customStyle="1" w:styleId="xl118">
    <w:name w:val="xl118"/>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
    <w:rsid w:val="00227A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Normal"/>
    <w:rsid w:val="00227AD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1">
    <w:name w:val="xl121"/>
    <w:basedOn w:val="Normal"/>
    <w:rsid w:val="00227AD3"/>
    <w:pPr>
      <w:pBdr>
        <w:top w:val="single" w:sz="8" w:space="0" w:color="auto"/>
        <w:left w:val="single" w:sz="8" w:space="0" w:color="auto"/>
        <w:bottom w:val="single" w:sz="8" w:space="0" w:color="auto"/>
        <w:right w:val="single" w:sz="4" w:space="0" w:color="auto"/>
      </w:pBdr>
      <w:shd w:val="clear" w:color="000000" w:fill="DDD9C3"/>
      <w:spacing w:before="100" w:beforeAutospacing="1" w:after="100" w:afterAutospacing="1"/>
      <w:textAlignment w:val="center"/>
    </w:pPr>
    <w:rPr>
      <w:rFonts w:ascii="Arial" w:hAnsi="Arial" w:cs="Arial"/>
      <w:sz w:val="16"/>
      <w:szCs w:val="16"/>
    </w:rPr>
  </w:style>
  <w:style w:type="paragraph" w:customStyle="1" w:styleId="xl122">
    <w:name w:val="xl122"/>
    <w:basedOn w:val="Normal"/>
    <w:rsid w:val="00227AD3"/>
    <w:pPr>
      <w:pBdr>
        <w:top w:val="single" w:sz="8" w:space="0" w:color="auto"/>
        <w:left w:val="single" w:sz="4" w:space="0" w:color="auto"/>
        <w:bottom w:val="single" w:sz="8" w:space="0" w:color="auto"/>
        <w:right w:val="single" w:sz="4"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123">
    <w:name w:val="xl123"/>
    <w:basedOn w:val="Normal"/>
    <w:rsid w:val="00227AD3"/>
    <w:pPr>
      <w:pBdr>
        <w:top w:val="single" w:sz="8" w:space="0" w:color="auto"/>
        <w:left w:val="single" w:sz="4" w:space="0" w:color="auto"/>
        <w:bottom w:val="single" w:sz="8" w:space="0" w:color="auto"/>
        <w:right w:val="single" w:sz="4" w:space="0" w:color="auto"/>
      </w:pBdr>
      <w:shd w:val="clear" w:color="000000" w:fill="DDD9C3"/>
      <w:spacing w:before="100" w:beforeAutospacing="1" w:after="100" w:afterAutospacing="1"/>
      <w:jc w:val="center"/>
      <w:textAlignment w:val="center"/>
    </w:pPr>
    <w:rPr>
      <w:rFonts w:ascii="Arial" w:hAnsi="Arial" w:cs="Arial"/>
      <w:b/>
      <w:bCs/>
      <w:color w:val="000000"/>
      <w:sz w:val="16"/>
      <w:szCs w:val="16"/>
    </w:rPr>
  </w:style>
  <w:style w:type="paragraph" w:customStyle="1" w:styleId="xl124">
    <w:name w:val="xl124"/>
    <w:basedOn w:val="Normal"/>
    <w:rsid w:val="00227AD3"/>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rFonts w:ascii="Arial" w:hAnsi="Arial" w:cs="Arial"/>
      <w:b/>
      <w:bCs/>
      <w:color w:val="000000"/>
      <w:sz w:val="16"/>
      <w:szCs w:val="16"/>
    </w:rPr>
  </w:style>
  <w:style w:type="paragraph" w:customStyle="1" w:styleId="xl125">
    <w:name w:val="xl125"/>
    <w:basedOn w:val="Normal"/>
    <w:rsid w:val="00227A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Normal"/>
    <w:rsid w:val="00227AD3"/>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7">
    <w:name w:val="xl127"/>
    <w:basedOn w:val="Normal"/>
    <w:rsid w:val="00227A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NoSpacing">
    <w:name w:val="No Spacing"/>
    <w:basedOn w:val="Normal"/>
    <w:link w:val="NoSpacingChar"/>
    <w:uiPriority w:val="1"/>
    <w:qFormat/>
    <w:rsid w:val="00227AD3"/>
    <w:pPr>
      <w:contextualSpacing/>
    </w:pPr>
    <w:rPr>
      <w:rFonts w:ascii="Arial" w:hAnsi="Arial"/>
      <w:szCs w:val="20"/>
      <w:lang w:bidi="en-US"/>
    </w:rPr>
  </w:style>
  <w:style w:type="character" w:customStyle="1" w:styleId="NoSpacingChar">
    <w:name w:val="No Spacing Char"/>
    <w:link w:val="NoSpacing"/>
    <w:uiPriority w:val="1"/>
    <w:rsid w:val="00227AD3"/>
    <w:rPr>
      <w:rFonts w:ascii="Arial" w:eastAsia="Times New Roman" w:hAnsi="Arial" w:cs="Times New Roman"/>
      <w:sz w:val="24"/>
      <w:szCs w:val="20"/>
      <w:lang w:bidi="en-US"/>
    </w:rPr>
  </w:style>
  <w:style w:type="paragraph" w:styleId="Revision">
    <w:name w:val="Revision"/>
    <w:hidden/>
    <w:uiPriority w:val="99"/>
    <w:semiHidden/>
    <w:rsid w:val="00DE7801"/>
    <w:rPr>
      <w:rFonts w:ascii="Times New Roman" w:eastAsia="Times New Roman" w:hAnsi="Times New Roman"/>
      <w:sz w:val="24"/>
      <w:szCs w:val="24"/>
    </w:rPr>
  </w:style>
  <w:style w:type="character" w:customStyle="1" w:styleId="sup">
    <w:name w:val="sup"/>
    <w:basedOn w:val="DefaultParagraphFont"/>
    <w:rsid w:val="007104C3"/>
  </w:style>
  <w:style w:type="paragraph" w:customStyle="1" w:styleId="CLETTERED">
    <w:name w:val="CLETTERED"/>
    <w:basedOn w:val="Normal"/>
    <w:link w:val="CLETTEREDChar"/>
    <w:rsid w:val="00446878"/>
    <w:pPr>
      <w:spacing w:before="100" w:after="100"/>
      <w:ind w:left="900" w:hanging="540"/>
    </w:pPr>
    <w:rPr>
      <w:rFonts w:ascii="Arial" w:eastAsia="MS Mincho" w:hAnsi="Arial"/>
      <w:sz w:val="21"/>
      <w:szCs w:val="20"/>
    </w:rPr>
  </w:style>
  <w:style w:type="character" w:customStyle="1" w:styleId="CLETTEREDChar">
    <w:name w:val="CLETTERED Char"/>
    <w:link w:val="CLETTERED"/>
    <w:rsid w:val="00446878"/>
    <w:rPr>
      <w:rFonts w:ascii="Arial" w:eastAsia="MS Mincho" w:hAnsi="Arial"/>
      <w:sz w:val="21"/>
    </w:rPr>
  </w:style>
  <w:style w:type="paragraph" w:customStyle="1" w:styleId="cnumbered">
    <w:name w:val="cnumbered"/>
    <w:basedOn w:val="Normal"/>
    <w:link w:val="cnumberedCharChar"/>
    <w:rsid w:val="00446878"/>
    <w:pPr>
      <w:spacing w:before="60" w:after="60"/>
      <w:ind w:left="1440" w:hanging="533"/>
    </w:pPr>
    <w:rPr>
      <w:rFonts w:ascii="Arial" w:eastAsia="MS Mincho" w:hAnsi="Arial"/>
      <w:sz w:val="21"/>
      <w:szCs w:val="20"/>
    </w:rPr>
  </w:style>
  <w:style w:type="character" w:customStyle="1" w:styleId="cnumberedCharChar">
    <w:name w:val="cnumbered Char Char"/>
    <w:link w:val="cnumbered"/>
    <w:rsid w:val="00446878"/>
    <w:rPr>
      <w:rFonts w:ascii="Arial" w:eastAsia="MS Mincho" w:hAnsi="Arial"/>
      <w:sz w:val="21"/>
    </w:rPr>
  </w:style>
</w:styles>
</file>

<file path=word/webSettings.xml><?xml version="1.0" encoding="utf-8"?>
<w:webSettings xmlns:r="http://schemas.openxmlformats.org/officeDocument/2006/relationships" xmlns:w="http://schemas.openxmlformats.org/wordprocessingml/2006/main">
  <w:divs>
    <w:div w:id="47186762">
      <w:bodyDiv w:val="1"/>
      <w:marLeft w:val="0"/>
      <w:marRight w:val="0"/>
      <w:marTop w:val="0"/>
      <w:marBottom w:val="0"/>
      <w:divBdr>
        <w:top w:val="none" w:sz="0" w:space="0" w:color="auto"/>
        <w:left w:val="none" w:sz="0" w:space="0" w:color="auto"/>
        <w:bottom w:val="none" w:sz="0" w:space="0" w:color="auto"/>
        <w:right w:val="none" w:sz="0" w:space="0" w:color="auto"/>
      </w:divBdr>
    </w:div>
    <w:div w:id="154230301">
      <w:bodyDiv w:val="1"/>
      <w:marLeft w:val="0"/>
      <w:marRight w:val="0"/>
      <w:marTop w:val="0"/>
      <w:marBottom w:val="0"/>
      <w:divBdr>
        <w:top w:val="none" w:sz="0" w:space="0" w:color="auto"/>
        <w:left w:val="none" w:sz="0" w:space="0" w:color="auto"/>
        <w:bottom w:val="none" w:sz="0" w:space="0" w:color="auto"/>
        <w:right w:val="none" w:sz="0" w:space="0" w:color="auto"/>
      </w:divBdr>
      <w:divsChild>
        <w:div w:id="194194782">
          <w:marLeft w:val="0"/>
          <w:marRight w:val="0"/>
          <w:marTop w:val="0"/>
          <w:marBottom w:val="0"/>
          <w:divBdr>
            <w:top w:val="none" w:sz="0" w:space="0" w:color="auto"/>
            <w:left w:val="none" w:sz="0" w:space="0" w:color="auto"/>
            <w:bottom w:val="none" w:sz="0" w:space="0" w:color="auto"/>
            <w:right w:val="none" w:sz="0" w:space="0" w:color="auto"/>
          </w:divBdr>
        </w:div>
      </w:divsChild>
    </w:div>
    <w:div w:id="307323545">
      <w:bodyDiv w:val="1"/>
      <w:marLeft w:val="0"/>
      <w:marRight w:val="0"/>
      <w:marTop w:val="0"/>
      <w:marBottom w:val="0"/>
      <w:divBdr>
        <w:top w:val="none" w:sz="0" w:space="0" w:color="auto"/>
        <w:left w:val="none" w:sz="0" w:space="0" w:color="auto"/>
        <w:bottom w:val="none" w:sz="0" w:space="0" w:color="auto"/>
        <w:right w:val="none" w:sz="0" w:space="0" w:color="auto"/>
      </w:divBdr>
    </w:div>
    <w:div w:id="416444084">
      <w:bodyDiv w:val="1"/>
      <w:marLeft w:val="0"/>
      <w:marRight w:val="0"/>
      <w:marTop w:val="0"/>
      <w:marBottom w:val="0"/>
      <w:divBdr>
        <w:top w:val="none" w:sz="0" w:space="0" w:color="auto"/>
        <w:left w:val="none" w:sz="0" w:space="0" w:color="auto"/>
        <w:bottom w:val="none" w:sz="0" w:space="0" w:color="auto"/>
        <w:right w:val="none" w:sz="0" w:space="0" w:color="auto"/>
      </w:divBdr>
      <w:divsChild>
        <w:div w:id="1992826693">
          <w:marLeft w:val="3375"/>
          <w:marRight w:val="0"/>
          <w:marTop w:val="0"/>
          <w:marBottom w:val="0"/>
          <w:divBdr>
            <w:top w:val="none" w:sz="0" w:space="0" w:color="auto"/>
            <w:left w:val="none" w:sz="0" w:space="0" w:color="auto"/>
            <w:bottom w:val="none" w:sz="0" w:space="0" w:color="auto"/>
            <w:right w:val="none" w:sz="0" w:space="0" w:color="auto"/>
          </w:divBdr>
          <w:divsChild>
            <w:div w:id="1572274369">
              <w:marLeft w:val="0"/>
              <w:marRight w:val="0"/>
              <w:marTop w:val="0"/>
              <w:marBottom w:val="0"/>
              <w:divBdr>
                <w:top w:val="none" w:sz="0" w:space="0" w:color="auto"/>
                <w:left w:val="none" w:sz="0" w:space="0" w:color="auto"/>
                <w:bottom w:val="none" w:sz="0" w:space="0" w:color="auto"/>
                <w:right w:val="none" w:sz="0" w:space="0" w:color="auto"/>
              </w:divBdr>
              <w:divsChild>
                <w:div w:id="1744915570">
                  <w:marLeft w:val="0"/>
                  <w:marRight w:val="0"/>
                  <w:marTop w:val="0"/>
                  <w:marBottom w:val="0"/>
                  <w:divBdr>
                    <w:top w:val="none" w:sz="0" w:space="0" w:color="auto"/>
                    <w:left w:val="none" w:sz="0" w:space="0" w:color="auto"/>
                    <w:bottom w:val="none" w:sz="0" w:space="0" w:color="auto"/>
                    <w:right w:val="none" w:sz="0" w:space="0" w:color="auto"/>
                  </w:divBdr>
                  <w:divsChild>
                    <w:div w:id="978222201">
                      <w:marLeft w:val="0"/>
                      <w:marRight w:val="0"/>
                      <w:marTop w:val="0"/>
                      <w:marBottom w:val="0"/>
                      <w:divBdr>
                        <w:top w:val="none" w:sz="0" w:space="0" w:color="auto"/>
                        <w:left w:val="none" w:sz="0" w:space="0" w:color="auto"/>
                        <w:bottom w:val="none" w:sz="0" w:space="0" w:color="auto"/>
                        <w:right w:val="none" w:sz="0" w:space="0" w:color="auto"/>
                      </w:divBdr>
                      <w:divsChild>
                        <w:div w:id="9434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621787">
      <w:bodyDiv w:val="1"/>
      <w:marLeft w:val="0"/>
      <w:marRight w:val="0"/>
      <w:marTop w:val="0"/>
      <w:marBottom w:val="0"/>
      <w:divBdr>
        <w:top w:val="none" w:sz="0" w:space="0" w:color="auto"/>
        <w:left w:val="none" w:sz="0" w:space="0" w:color="auto"/>
        <w:bottom w:val="none" w:sz="0" w:space="0" w:color="auto"/>
        <w:right w:val="none" w:sz="0" w:space="0" w:color="auto"/>
      </w:divBdr>
    </w:div>
    <w:div w:id="533083621">
      <w:bodyDiv w:val="1"/>
      <w:marLeft w:val="0"/>
      <w:marRight w:val="0"/>
      <w:marTop w:val="0"/>
      <w:marBottom w:val="0"/>
      <w:divBdr>
        <w:top w:val="none" w:sz="0" w:space="0" w:color="auto"/>
        <w:left w:val="none" w:sz="0" w:space="0" w:color="auto"/>
        <w:bottom w:val="none" w:sz="0" w:space="0" w:color="auto"/>
        <w:right w:val="none" w:sz="0" w:space="0" w:color="auto"/>
      </w:divBdr>
      <w:divsChild>
        <w:div w:id="2026201923">
          <w:marLeft w:val="3375"/>
          <w:marRight w:val="0"/>
          <w:marTop w:val="0"/>
          <w:marBottom w:val="0"/>
          <w:divBdr>
            <w:top w:val="none" w:sz="0" w:space="0" w:color="auto"/>
            <w:left w:val="none" w:sz="0" w:space="0" w:color="auto"/>
            <w:bottom w:val="none" w:sz="0" w:space="0" w:color="auto"/>
            <w:right w:val="none" w:sz="0" w:space="0" w:color="auto"/>
          </w:divBdr>
          <w:divsChild>
            <w:div w:id="515268731">
              <w:marLeft w:val="0"/>
              <w:marRight w:val="0"/>
              <w:marTop w:val="0"/>
              <w:marBottom w:val="0"/>
              <w:divBdr>
                <w:top w:val="none" w:sz="0" w:space="0" w:color="auto"/>
                <w:left w:val="none" w:sz="0" w:space="0" w:color="auto"/>
                <w:bottom w:val="none" w:sz="0" w:space="0" w:color="auto"/>
                <w:right w:val="none" w:sz="0" w:space="0" w:color="auto"/>
              </w:divBdr>
              <w:divsChild>
                <w:div w:id="489247754">
                  <w:marLeft w:val="0"/>
                  <w:marRight w:val="0"/>
                  <w:marTop w:val="0"/>
                  <w:marBottom w:val="0"/>
                  <w:divBdr>
                    <w:top w:val="none" w:sz="0" w:space="0" w:color="auto"/>
                    <w:left w:val="none" w:sz="0" w:space="0" w:color="auto"/>
                    <w:bottom w:val="none" w:sz="0" w:space="0" w:color="auto"/>
                    <w:right w:val="none" w:sz="0" w:space="0" w:color="auto"/>
                  </w:divBdr>
                  <w:divsChild>
                    <w:div w:id="442501675">
                      <w:marLeft w:val="0"/>
                      <w:marRight w:val="0"/>
                      <w:marTop w:val="0"/>
                      <w:marBottom w:val="0"/>
                      <w:divBdr>
                        <w:top w:val="none" w:sz="0" w:space="0" w:color="auto"/>
                        <w:left w:val="none" w:sz="0" w:space="0" w:color="auto"/>
                        <w:bottom w:val="none" w:sz="0" w:space="0" w:color="auto"/>
                        <w:right w:val="none" w:sz="0" w:space="0" w:color="auto"/>
                      </w:divBdr>
                      <w:divsChild>
                        <w:div w:id="9581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793">
      <w:bodyDiv w:val="1"/>
      <w:marLeft w:val="0"/>
      <w:marRight w:val="0"/>
      <w:marTop w:val="0"/>
      <w:marBottom w:val="0"/>
      <w:divBdr>
        <w:top w:val="none" w:sz="0" w:space="0" w:color="auto"/>
        <w:left w:val="none" w:sz="0" w:space="0" w:color="auto"/>
        <w:bottom w:val="none" w:sz="0" w:space="0" w:color="auto"/>
        <w:right w:val="none" w:sz="0" w:space="0" w:color="auto"/>
      </w:divBdr>
    </w:div>
    <w:div w:id="547424835">
      <w:bodyDiv w:val="1"/>
      <w:marLeft w:val="0"/>
      <w:marRight w:val="0"/>
      <w:marTop w:val="0"/>
      <w:marBottom w:val="0"/>
      <w:divBdr>
        <w:top w:val="none" w:sz="0" w:space="0" w:color="auto"/>
        <w:left w:val="none" w:sz="0" w:space="0" w:color="auto"/>
        <w:bottom w:val="none" w:sz="0" w:space="0" w:color="auto"/>
        <w:right w:val="none" w:sz="0" w:space="0" w:color="auto"/>
      </w:divBdr>
    </w:div>
    <w:div w:id="614404334">
      <w:bodyDiv w:val="1"/>
      <w:marLeft w:val="0"/>
      <w:marRight w:val="0"/>
      <w:marTop w:val="0"/>
      <w:marBottom w:val="0"/>
      <w:divBdr>
        <w:top w:val="none" w:sz="0" w:space="0" w:color="auto"/>
        <w:left w:val="none" w:sz="0" w:space="0" w:color="auto"/>
        <w:bottom w:val="none" w:sz="0" w:space="0" w:color="auto"/>
        <w:right w:val="none" w:sz="0" w:space="0" w:color="auto"/>
      </w:divBdr>
    </w:div>
    <w:div w:id="645089934">
      <w:bodyDiv w:val="1"/>
      <w:marLeft w:val="0"/>
      <w:marRight w:val="0"/>
      <w:marTop w:val="0"/>
      <w:marBottom w:val="0"/>
      <w:divBdr>
        <w:top w:val="none" w:sz="0" w:space="0" w:color="auto"/>
        <w:left w:val="none" w:sz="0" w:space="0" w:color="auto"/>
        <w:bottom w:val="none" w:sz="0" w:space="0" w:color="auto"/>
        <w:right w:val="none" w:sz="0" w:space="0" w:color="auto"/>
      </w:divBdr>
    </w:div>
    <w:div w:id="697195970">
      <w:bodyDiv w:val="1"/>
      <w:marLeft w:val="0"/>
      <w:marRight w:val="0"/>
      <w:marTop w:val="0"/>
      <w:marBottom w:val="0"/>
      <w:divBdr>
        <w:top w:val="none" w:sz="0" w:space="0" w:color="auto"/>
        <w:left w:val="none" w:sz="0" w:space="0" w:color="auto"/>
        <w:bottom w:val="none" w:sz="0" w:space="0" w:color="auto"/>
        <w:right w:val="none" w:sz="0" w:space="0" w:color="auto"/>
      </w:divBdr>
    </w:div>
    <w:div w:id="719475286">
      <w:bodyDiv w:val="1"/>
      <w:marLeft w:val="0"/>
      <w:marRight w:val="0"/>
      <w:marTop w:val="0"/>
      <w:marBottom w:val="0"/>
      <w:divBdr>
        <w:top w:val="none" w:sz="0" w:space="0" w:color="auto"/>
        <w:left w:val="none" w:sz="0" w:space="0" w:color="auto"/>
        <w:bottom w:val="none" w:sz="0" w:space="0" w:color="auto"/>
        <w:right w:val="none" w:sz="0" w:space="0" w:color="auto"/>
      </w:divBdr>
    </w:div>
    <w:div w:id="807472550">
      <w:bodyDiv w:val="1"/>
      <w:marLeft w:val="0"/>
      <w:marRight w:val="0"/>
      <w:marTop w:val="0"/>
      <w:marBottom w:val="0"/>
      <w:divBdr>
        <w:top w:val="none" w:sz="0" w:space="0" w:color="auto"/>
        <w:left w:val="none" w:sz="0" w:space="0" w:color="auto"/>
        <w:bottom w:val="none" w:sz="0" w:space="0" w:color="auto"/>
        <w:right w:val="none" w:sz="0" w:space="0" w:color="auto"/>
      </w:divBdr>
    </w:div>
    <w:div w:id="920603242">
      <w:bodyDiv w:val="1"/>
      <w:marLeft w:val="0"/>
      <w:marRight w:val="0"/>
      <w:marTop w:val="0"/>
      <w:marBottom w:val="0"/>
      <w:divBdr>
        <w:top w:val="none" w:sz="0" w:space="0" w:color="auto"/>
        <w:left w:val="none" w:sz="0" w:space="0" w:color="auto"/>
        <w:bottom w:val="none" w:sz="0" w:space="0" w:color="auto"/>
        <w:right w:val="none" w:sz="0" w:space="0" w:color="auto"/>
      </w:divBdr>
      <w:divsChild>
        <w:div w:id="1590852434">
          <w:marLeft w:val="3375"/>
          <w:marRight w:val="0"/>
          <w:marTop w:val="0"/>
          <w:marBottom w:val="0"/>
          <w:divBdr>
            <w:top w:val="none" w:sz="0" w:space="0" w:color="auto"/>
            <w:left w:val="none" w:sz="0" w:space="0" w:color="auto"/>
            <w:bottom w:val="none" w:sz="0" w:space="0" w:color="auto"/>
            <w:right w:val="none" w:sz="0" w:space="0" w:color="auto"/>
          </w:divBdr>
          <w:divsChild>
            <w:div w:id="469057116">
              <w:marLeft w:val="0"/>
              <w:marRight w:val="0"/>
              <w:marTop w:val="0"/>
              <w:marBottom w:val="0"/>
              <w:divBdr>
                <w:top w:val="none" w:sz="0" w:space="0" w:color="auto"/>
                <w:left w:val="none" w:sz="0" w:space="0" w:color="auto"/>
                <w:bottom w:val="none" w:sz="0" w:space="0" w:color="auto"/>
                <w:right w:val="none" w:sz="0" w:space="0" w:color="auto"/>
              </w:divBdr>
              <w:divsChild>
                <w:div w:id="1887597530">
                  <w:marLeft w:val="0"/>
                  <w:marRight w:val="0"/>
                  <w:marTop w:val="0"/>
                  <w:marBottom w:val="0"/>
                  <w:divBdr>
                    <w:top w:val="none" w:sz="0" w:space="0" w:color="auto"/>
                    <w:left w:val="none" w:sz="0" w:space="0" w:color="auto"/>
                    <w:bottom w:val="none" w:sz="0" w:space="0" w:color="auto"/>
                    <w:right w:val="none" w:sz="0" w:space="0" w:color="auto"/>
                  </w:divBdr>
                  <w:divsChild>
                    <w:div w:id="44263738">
                      <w:marLeft w:val="0"/>
                      <w:marRight w:val="0"/>
                      <w:marTop w:val="0"/>
                      <w:marBottom w:val="0"/>
                      <w:divBdr>
                        <w:top w:val="none" w:sz="0" w:space="0" w:color="auto"/>
                        <w:left w:val="none" w:sz="0" w:space="0" w:color="auto"/>
                        <w:bottom w:val="none" w:sz="0" w:space="0" w:color="auto"/>
                        <w:right w:val="none" w:sz="0" w:space="0" w:color="auto"/>
                      </w:divBdr>
                      <w:divsChild>
                        <w:div w:id="2073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53197">
      <w:bodyDiv w:val="1"/>
      <w:marLeft w:val="0"/>
      <w:marRight w:val="0"/>
      <w:marTop w:val="0"/>
      <w:marBottom w:val="0"/>
      <w:divBdr>
        <w:top w:val="none" w:sz="0" w:space="0" w:color="auto"/>
        <w:left w:val="none" w:sz="0" w:space="0" w:color="auto"/>
        <w:bottom w:val="none" w:sz="0" w:space="0" w:color="auto"/>
        <w:right w:val="none" w:sz="0" w:space="0" w:color="auto"/>
      </w:divBdr>
    </w:div>
    <w:div w:id="961225405">
      <w:bodyDiv w:val="1"/>
      <w:marLeft w:val="0"/>
      <w:marRight w:val="0"/>
      <w:marTop w:val="0"/>
      <w:marBottom w:val="0"/>
      <w:divBdr>
        <w:top w:val="none" w:sz="0" w:space="0" w:color="auto"/>
        <w:left w:val="none" w:sz="0" w:space="0" w:color="auto"/>
        <w:bottom w:val="none" w:sz="0" w:space="0" w:color="auto"/>
        <w:right w:val="none" w:sz="0" w:space="0" w:color="auto"/>
      </w:divBdr>
    </w:div>
    <w:div w:id="1102602938">
      <w:bodyDiv w:val="1"/>
      <w:marLeft w:val="0"/>
      <w:marRight w:val="0"/>
      <w:marTop w:val="0"/>
      <w:marBottom w:val="0"/>
      <w:divBdr>
        <w:top w:val="none" w:sz="0" w:space="0" w:color="auto"/>
        <w:left w:val="none" w:sz="0" w:space="0" w:color="auto"/>
        <w:bottom w:val="none" w:sz="0" w:space="0" w:color="auto"/>
        <w:right w:val="none" w:sz="0" w:space="0" w:color="auto"/>
      </w:divBdr>
      <w:divsChild>
        <w:div w:id="1819036549">
          <w:marLeft w:val="0"/>
          <w:marRight w:val="0"/>
          <w:marTop w:val="0"/>
          <w:marBottom w:val="0"/>
          <w:divBdr>
            <w:top w:val="none" w:sz="0" w:space="0" w:color="auto"/>
            <w:left w:val="none" w:sz="0" w:space="0" w:color="auto"/>
            <w:bottom w:val="none" w:sz="0" w:space="0" w:color="auto"/>
            <w:right w:val="none" w:sz="0" w:space="0" w:color="auto"/>
          </w:divBdr>
        </w:div>
      </w:divsChild>
    </w:div>
    <w:div w:id="1167359482">
      <w:bodyDiv w:val="1"/>
      <w:marLeft w:val="0"/>
      <w:marRight w:val="0"/>
      <w:marTop w:val="0"/>
      <w:marBottom w:val="0"/>
      <w:divBdr>
        <w:top w:val="none" w:sz="0" w:space="0" w:color="auto"/>
        <w:left w:val="none" w:sz="0" w:space="0" w:color="auto"/>
        <w:bottom w:val="none" w:sz="0" w:space="0" w:color="auto"/>
        <w:right w:val="none" w:sz="0" w:space="0" w:color="auto"/>
      </w:divBdr>
      <w:divsChild>
        <w:div w:id="1385063283">
          <w:marLeft w:val="3375"/>
          <w:marRight w:val="0"/>
          <w:marTop w:val="0"/>
          <w:marBottom w:val="0"/>
          <w:divBdr>
            <w:top w:val="none" w:sz="0" w:space="0" w:color="auto"/>
            <w:left w:val="none" w:sz="0" w:space="0" w:color="auto"/>
            <w:bottom w:val="none" w:sz="0" w:space="0" w:color="auto"/>
            <w:right w:val="none" w:sz="0" w:space="0" w:color="auto"/>
          </w:divBdr>
          <w:divsChild>
            <w:div w:id="201788929">
              <w:marLeft w:val="0"/>
              <w:marRight w:val="0"/>
              <w:marTop w:val="0"/>
              <w:marBottom w:val="0"/>
              <w:divBdr>
                <w:top w:val="none" w:sz="0" w:space="0" w:color="auto"/>
                <w:left w:val="none" w:sz="0" w:space="0" w:color="auto"/>
                <w:bottom w:val="none" w:sz="0" w:space="0" w:color="auto"/>
                <w:right w:val="none" w:sz="0" w:space="0" w:color="auto"/>
              </w:divBdr>
              <w:divsChild>
                <w:div w:id="1618416391">
                  <w:marLeft w:val="0"/>
                  <w:marRight w:val="0"/>
                  <w:marTop w:val="0"/>
                  <w:marBottom w:val="0"/>
                  <w:divBdr>
                    <w:top w:val="none" w:sz="0" w:space="0" w:color="auto"/>
                    <w:left w:val="none" w:sz="0" w:space="0" w:color="auto"/>
                    <w:bottom w:val="none" w:sz="0" w:space="0" w:color="auto"/>
                    <w:right w:val="none" w:sz="0" w:space="0" w:color="auto"/>
                  </w:divBdr>
                  <w:divsChild>
                    <w:div w:id="2004815809">
                      <w:marLeft w:val="0"/>
                      <w:marRight w:val="0"/>
                      <w:marTop w:val="0"/>
                      <w:marBottom w:val="0"/>
                      <w:divBdr>
                        <w:top w:val="none" w:sz="0" w:space="0" w:color="auto"/>
                        <w:left w:val="none" w:sz="0" w:space="0" w:color="auto"/>
                        <w:bottom w:val="none" w:sz="0" w:space="0" w:color="auto"/>
                        <w:right w:val="none" w:sz="0" w:space="0" w:color="auto"/>
                      </w:divBdr>
                      <w:divsChild>
                        <w:div w:id="679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446373">
      <w:bodyDiv w:val="1"/>
      <w:marLeft w:val="0"/>
      <w:marRight w:val="0"/>
      <w:marTop w:val="0"/>
      <w:marBottom w:val="0"/>
      <w:divBdr>
        <w:top w:val="none" w:sz="0" w:space="0" w:color="auto"/>
        <w:left w:val="none" w:sz="0" w:space="0" w:color="auto"/>
        <w:bottom w:val="none" w:sz="0" w:space="0" w:color="auto"/>
        <w:right w:val="none" w:sz="0" w:space="0" w:color="auto"/>
      </w:divBdr>
    </w:div>
    <w:div w:id="1429307030">
      <w:bodyDiv w:val="1"/>
      <w:marLeft w:val="0"/>
      <w:marRight w:val="0"/>
      <w:marTop w:val="0"/>
      <w:marBottom w:val="0"/>
      <w:divBdr>
        <w:top w:val="none" w:sz="0" w:space="0" w:color="auto"/>
        <w:left w:val="none" w:sz="0" w:space="0" w:color="auto"/>
        <w:bottom w:val="none" w:sz="0" w:space="0" w:color="auto"/>
        <w:right w:val="none" w:sz="0" w:space="0" w:color="auto"/>
      </w:divBdr>
    </w:div>
    <w:div w:id="1580627932">
      <w:bodyDiv w:val="1"/>
      <w:marLeft w:val="0"/>
      <w:marRight w:val="0"/>
      <w:marTop w:val="0"/>
      <w:marBottom w:val="0"/>
      <w:divBdr>
        <w:top w:val="none" w:sz="0" w:space="0" w:color="auto"/>
        <w:left w:val="none" w:sz="0" w:space="0" w:color="auto"/>
        <w:bottom w:val="none" w:sz="0" w:space="0" w:color="auto"/>
        <w:right w:val="none" w:sz="0" w:space="0" w:color="auto"/>
      </w:divBdr>
    </w:div>
    <w:div w:id="1657151261">
      <w:bodyDiv w:val="1"/>
      <w:marLeft w:val="0"/>
      <w:marRight w:val="0"/>
      <w:marTop w:val="0"/>
      <w:marBottom w:val="0"/>
      <w:divBdr>
        <w:top w:val="none" w:sz="0" w:space="0" w:color="auto"/>
        <w:left w:val="none" w:sz="0" w:space="0" w:color="auto"/>
        <w:bottom w:val="none" w:sz="0" w:space="0" w:color="auto"/>
        <w:right w:val="none" w:sz="0" w:space="0" w:color="auto"/>
      </w:divBdr>
      <w:divsChild>
        <w:div w:id="1144279348">
          <w:marLeft w:val="3375"/>
          <w:marRight w:val="0"/>
          <w:marTop w:val="0"/>
          <w:marBottom w:val="0"/>
          <w:divBdr>
            <w:top w:val="none" w:sz="0" w:space="0" w:color="auto"/>
            <w:left w:val="none" w:sz="0" w:space="0" w:color="auto"/>
            <w:bottom w:val="none" w:sz="0" w:space="0" w:color="auto"/>
            <w:right w:val="none" w:sz="0" w:space="0" w:color="auto"/>
          </w:divBdr>
          <w:divsChild>
            <w:div w:id="922959001">
              <w:marLeft w:val="0"/>
              <w:marRight w:val="0"/>
              <w:marTop w:val="0"/>
              <w:marBottom w:val="0"/>
              <w:divBdr>
                <w:top w:val="none" w:sz="0" w:space="0" w:color="auto"/>
                <w:left w:val="none" w:sz="0" w:space="0" w:color="auto"/>
                <w:bottom w:val="none" w:sz="0" w:space="0" w:color="auto"/>
                <w:right w:val="none" w:sz="0" w:space="0" w:color="auto"/>
              </w:divBdr>
              <w:divsChild>
                <w:div w:id="869537268">
                  <w:marLeft w:val="0"/>
                  <w:marRight w:val="0"/>
                  <w:marTop w:val="0"/>
                  <w:marBottom w:val="0"/>
                  <w:divBdr>
                    <w:top w:val="none" w:sz="0" w:space="0" w:color="auto"/>
                    <w:left w:val="none" w:sz="0" w:space="0" w:color="auto"/>
                    <w:bottom w:val="none" w:sz="0" w:space="0" w:color="auto"/>
                    <w:right w:val="none" w:sz="0" w:space="0" w:color="auto"/>
                  </w:divBdr>
                  <w:divsChild>
                    <w:div w:id="771778622">
                      <w:marLeft w:val="0"/>
                      <w:marRight w:val="0"/>
                      <w:marTop w:val="0"/>
                      <w:marBottom w:val="0"/>
                      <w:divBdr>
                        <w:top w:val="none" w:sz="0" w:space="0" w:color="auto"/>
                        <w:left w:val="none" w:sz="0" w:space="0" w:color="auto"/>
                        <w:bottom w:val="none" w:sz="0" w:space="0" w:color="auto"/>
                        <w:right w:val="none" w:sz="0" w:space="0" w:color="auto"/>
                      </w:divBdr>
                      <w:divsChild>
                        <w:div w:id="1900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63065">
      <w:bodyDiv w:val="1"/>
      <w:marLeft w:val="0"/>
      <w:marRight w:val="0"/>
      <w:marTop w:val="0"/>
      <w:marBottom w:val="0"/>
      <w:divBdr>
        <w:top w:val="none" w:sz="0" w:space="0" w:color="auto"/>
        <w:left w:val="none" w:sz="0" w:space="0" w:color="auto"/>
        <w:bottom w:val="none" w:sz="0" w:space="0" w:color="auto"/>
        <w:right w:val="none" w:sz="0" w:space="0" w:color="auto"/>
      </w:divBdr>
      <w:divsChild>
        <w:div w:id="1903518696">
          <w:marLeft w:val="3375"/>
          <w:marRight w:val="0"/>
          <w:marTop w:val="0"/>
          <w:marBottom w:val="0"/>
          <w:divBdr>
            <w:top w:val="none" w:sz="0" w:space="0" w:color="auto"/>
            <w:left w:val="none" w:sz="0" w:space="0" w:color="auto"/>
            <w:bottom w:val="none" w:sz="0" w:space="0" w:color="auto"/>
            <w:right w:val="none" w:sz="0" w:space="0" w:color="auto"/>
          </w:divBdr>
          <w:divsChild>
            <w:div w:id="1837646232">
              <w:marLeft w:val="0"/>
              <w:marRight w:val="0"/>
              <w:marTop w:val="0"/>
              <w:marBottom w:val="0"/>
              <w:divBdr>
                <w:top w:val="none" w:sz="0" w:space="0" w:color="auto"/>
                <w:left w:val="none" w:sz="0" w:space="0" w:color="auto"/>
                <w:bottom w:val="none" w:sz="0" w:space="0" w:color="auto"/>
                <w:right w:val="none" w:sz="0" w:space="0" w:color="auto"/>
              </w:divBdr>
              <w:divsChild>
                <w:div w:id="1127361005">
                  <w:marLeft w:val="0"/>
                  <w:marRight w:val="0"/>
                  <w:marTop w:val="0"/>
                  <w:marBottom w:val="0"/>
                  <w:divBdr>
                    <w:top w:val="none" w:sz="0" w:space="0" w:color="auto"/>
                    <w:left w:val="none" w:sz="0" w:space="0" w:color="auto"/>
                    <w:bottom w:val="none" w:sz="0" w:space="0" w:color="auto"/>
                    <w:right w:val="none" w:sz="0" w:space="0" w:color="auto"/>
                  </w:divBdr>
                  <w:divsChild>
                    <w:div w:id="1368796732">
                      <w:marLeft w:val="0"/>
                      <w:marRight w:val="0"/>
                      <w:marTop w:val="0"/>
                      <w:marBottom w:val="0"/>
                      <w:divBdr>
                        <w:top w:val="none" w:sz="0" w:space="0" w:color="auto"/>
                        <w:left w:val="none" w:sz="0" w:space="0" w:color="auto"/>
                        <w:bottom w:val="none" w:sz="0" w:space="0" w:color="auto"/>
                        <w:right w:val="none" w:sz="0" w:space="0" w:color="auto"/>
                      </w:divBdr>
                      <w:divsChild>
                        <w:div w:id="937640266">
                          <w:marLeft w:val="0"/>
                          <w:marRight w:val="0"/>
                          <w:marTop w:val="0"/>
                          <w:marBottom w:val="0"/>
                          <w:divBdr>
                            <w:top w:val="none" w:sz="0" w:space="0" w:color="auto"/>
                            <w:left w:val="none" w:sz="0" w:space="0" w:color="auto"/>
                            <w:bottom w:val="none" w:sz="0" w:space="0" w:color="auto"/>
                            <w:right w:val="none" w:sz="0" w:space="0" w:color="auto"/>
                          </w:divBdr>
                          <w:divsChild>
                            <w:div w:id="4372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55261">
      <w:bodyDiv w:val="1"/>
      <w:marLeft w:val="0"/>
      <w:marRight w:val="0"/>
      <w:marTop w:val="0"/>
      <w:marBottom w:val="0"/>
      <w:divBdr>
        <w:top w:val="none" w:sz="0" w:space="0" w:color="auto"/>
        <w:left w:val="none" w:sz="0" w:space="0" w:color="auto"/>
        <w:bottom w:val="none" w:sz="0" w:space="0" w:color="auto"/>
        <w:right w:val="none" w:sz="0" w:space="0" w:color="auto"/>
      </w:divBdr>
    </w:div>
    <w:div w:id="1989821036">
      <w:bodyDiv w:val="1"/>
      <w:marLeft w:val="0"/>
      <w:marRight w:val="0"/>
      <w:marTop w:val="0"/>
      <w:marBottom w:val="0"/>
      <w:divBdr>
        <w:top w:val="none" w:sz="0" w:space="0" w:color="auto"/>
        <w:left w:val="none" w:sz="0" w:space="0" w:color="auto"/>
        <w:bottom w:val="none" w:sz="0" w:space="0" w:color="auto"/>
        <w:right w:val="none" w:sz="0" w:space="0" w:color="auto"/>
      </w:divBdr>
    </w:div>
    <w:div w:id="2068991912">
      <w:bodyDiv w:val="1"/>
      <w:marLeft w:val="0"/>
      <w:marRight w:val="0"/>
      <w:marTop w:val="0"/>
      <w:marBottom w:val="0"/>
      <w:divBdr>
        <w:top w:val="none" w:sz="0" w:space="0" w:color="auto"/>
        <w:left w:val="none" w:sz="0" w:space="0" w:color="auto"/>
        <w:bottom w:val="none" w:sz="0" w:space="0" w:color="auto"/>
        <w:right w:val="none" w:sz="0" w:space="0" w:color="auto"/>
      </w:divBdr>
    </w:div>
    <w:div w:id="2084719136">
      <w:bodyDiv w:val="1"/>
      <w:marLeft w:val="0"/>
      <w:marRight w:val="0"/>
      <w:marTop w:val="0"/>
      <w:marBottom w:val="0"/>
      <w:divBdr>
        <w:top w:val="none" w:sz="0" w:space="0" w:color="auto"/>
        <w:left w:val="none" w:sz="0" w:space="0" w:color="auto"/>
        <w:bottom w:val="none" w:sz="0" w:space="0" w:color="auto"/>
        <w:right w:val="none" w:sz="0" w:space="0" w:color="auto"/>
      </w:divBdr>
    </w:div>
    <w:div w:id="2093428054">
      <w:bodyDiv w:val="1"/>
      <w:marLeft w:val="0"/>
      <w:marRight w:val="0"/>
      <w:marTop w:val="0"/>
      <w:marBottom w:val="0"/>
      <w:divBdr>
        <w:top w:val="none" w:sz="0" w:space="0" w:color="auto"/>
        <w:left w:val="none" w:sz="0" w:space="0" w:color="auto"/>
        <w:bottom w:val="none" w:sz="0" w:space="0" w:color="auto"/>
        <w:right w:val="none" w:sz="0" w:space="0" w:color="auto"/>
      </w:divBdr>
      <w:divsChild>
        <w:div w:id="1746224029">
          <w:marLeft w:val="3375"/>
          <w:marRight w:val="0"/>
          <w:marTop w:val="0"/>
          <w:marBottom w:val="0"/>
          <w:divBdr>
            <w:top w:val="none" w:sz="0" w:space="0" w:color="auto"/>
            <w:left w:val="none" w:sz="0" w:space="0" w:color="auto"/>
            <w:bottom w:val="none" w:sz="0" w:space="0" w:color="auto"/>
            <w:right w:val="none" w:sz="0" w:space="0" w:color="auto"/>
          </w:divBdr>
          <w:divsChild>
            <w:div w:id="332801349">
              <w:marLeft w:val="0"/>
              <w:marRight w:val="0"/>
              <w:marTop w:val="0"/>
              <w:marBottom w:val="0"/>
              <w:divBdr>
                <w:top w:val="none" w:sz="0" w:space="0" w:color="auto"/>
                <w:left w:val="none" w:sz="0" w:space="0" w:color="auto"/>
                <w:bottom w:val="none" w:sz="0" w:space="0" w:color="auto"/>
                <w:right w:val="none" w:sz="0" w:space="0" w:color="auto"/>
              </w:divBdr>
              <w:divsChild>
                <w:div w:id="70540849">
                  <w:marLeft w:val="0"/>
                  <w:marRight w:val="0"/>
                  <w:marTop w:val="0"/>
                  <w:marBottom w:val="0"/>
                  <w:divBdr>
                    <w:top w:val="none" w:sz="0" w:space="0" w:color="auto"/>
                    <w:left w:val="none" w:sz="0" w:space="0" w:color="auto"/>
                    <w:bottom w:val="none" w:sz="0" w:space="0" w:color="auto"/>
                    <w:right w:val="none" w:sz="0" w:space="0" w:color="auto"/>
                  </w:divBdr>
                  <w:divsChild>
                    <w:div w:id="765729580">
                      <w:marLeft w:val="0"/>
                      <w:marRight w:val="0"/>
                      <w:marTop w:val="0"/>
                      <w:marBottom w:val="0"/>
                      <w:divBdr>
                        <w:top w:val="none" w:sz="0" w:space="0" w:color="auto"/>
                        <w:left w:val="none" w:sz="0" w:space="0" w:color="auto"/>
                        <w:bottom w:val="none" w:sz="0" w:space="0" w:color="auto"/>
                        <w:right w:val="none" w:sz="0" w:space="0" w:color="auto"/>
                      </w:divBdr>
                      <w:divsChild>
                        <w:div w:id="1596472699">
                          <w:marLeft w:val="0"/>
                          <w:marRight w:val="0"/>
                          <w:marTop w:val="0"/>
                          <w:marBottom w:val="0"/>
                          <w:divBdr>
                            <w:top w:val="none" w:sz="0" w:space="0" w:color="auto"/>
                            <w:left w:val="none" w:sz="0" w:space="0" w:color="auto"/>
                            <w:bottom w:val="none" w:sz="0" w:space="0" w:color="auto"/>
                            <w:right w:val="none" w:sz="0" w:space="0" w:color="auto"/>
                          </w:divBdr>
                          <w:divsChild>
                            <w:div w:id="5597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dhsshare/DHS%20Graphics/!arkseal2.jpg" TargetMode="External"/><Relationship Id="rId13" Type="http://schemas.openxmlformats.org/officeDocument/2006/relationships/hyperlink" Target="https://www.medicaid.state.ar.us/Download/provider/pharm/PACriteria.pdf" TargetMode="External"/><Relationship Id="rId18" Type="http://schemas.openxmlformats.org/officeDocument/2006/relationships/hyperlink" Target="https://www.medicaid.state.ar.us/InternetSolution/default.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medicaid.state.ar.us" TargetMode="External"/><Relationship Id="rId2" Type="http://schemas.openxmlformats.org/officeDocument/2006/relationships/styles" Target="styles.xml"/><Relationship Id="rId16" Type="http://schemas.openxmlformats.org/officeDocument/2006/relationships/hyperlink" Target="https://www.medicaid.state.ar.us/InternetSolution/provider/forms/pharm/pharmform.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dicaid.state.ar.us/Download/provider/pharm/PDL.xl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edicaid.state.ar.us/Download/provider/pharm/ClaimEdit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7166</Words>
  <Characters>40847</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Approved Drug Utilization Review Board Edits</vt:lpstr>
    </vt:vector>
  </TitlesOfParts>
  <LinksUpToDate>false</LinksUpToDate>
  <CharactersWithSpaces>47918</CharactersWithSpaces>
  <SharedDoc>false</SharedDoc>
  <HLinks>
    <vt:vector size="54" baseType="variant">
      <vt:variant>
        <vt:i4>6684789</vt:i4>
      </vt:variant>
      <vt:variant>
        <vt:i4>21</vt:i4>
      </vt:variant>
      <vt:variant>
        <vt:i4>0</vt:i4>
      </vt:variant>
      <vt:variant>
        <vt:i4>5</vt:i4>
      </vt:variant>
      <vt:variant>
        <vt:lpwstr>https://www.medicaid.state.ar.us/InternetSolution/default.aspx</vt:lpwstr>
      </vt:variant>
      <vt:variant>
        <vt:lpwstr/>
      </vt:variant>
      <vt:variant>
        <vt:i4>3735642</vt:i4>
      </vt:variant>
      <vt:variant>
        <vt:i4>18</vt:i4>
      </vt:variant>
      <vt:variant>
        <vt:i4>0</vt:i4>
      </vt:variant>
      <vt:variant>
        <vt:i4>5</vt:i4>
      </vt:variant>
      <vt:variant>
        <vt:lpwstr>http://www.uams.edu/cdh1/peds_guidelines.aspx</vt:lpwstr>
      </vt:variant>
      <vt:variant>
        <vt:lpwstr/>
      </vt:variant>
      <vt:variant>
        <vt:i4>18</vt:i4>
      </vt:variant>
      <vt:variant>
        <vt:i4>15</vt:i4>
      </vt:variant>
      <vt:variant>
        <vt:i4>0</vt:i4>
      </vt:variant>
      <vt:variant>
        <vt:i4>5</vt:i4>
      </vt:variant>
      <vt:variant>
        <vt:lpwstr>http://www.medicaid.state.ar.us/</vt:lpwstr>
      </vt:variant>
      <vt:variant>
        <vt:lpwstr/>
      </vt:variant>
      <vt:variant>
        <vt:i4>5046288</vt:i4>
      </vt:variant>
      <vt:variant>
        <vt:i4>12</vt:i4>
      </vt:variant>
      <vt:variant>
        <vt:i4>0</vt:i4>
      </vt:variant>
      <vt:variant>
        <vt:i4>5</vt:i4>
      </vt:variant>
      <vt:variant>
        <vt:lpwstr>https://www.medicaid.state.ar.us/InternetSolution/provider/forms/pharm/pharmform.aspx</vt:lpwstr>
      </vt:variant>
      <vt:variant>
        <vt:lpwstr/>
      </vt:variant>
      <vt:variant>
        <vt:i4>4325454</vt:i4>
      </vt:variant>
      <vt:variant>
        <vt:i4>9</vt:i4>
      </vt:variant>
      <vt:variant>
        <vt:i4>0</vt:i4>
      </vt:variant>
      <vt:variant>
        <vt:i4>5</vt:i4>
      </vt:variant>
      <vt:variant>
        <vt:lpwstr>https://www.medicaid.state.ar.us/Download/provider/pharm/PDL.xls</vt:lpwstr>
      </vt:variant>
      <vt:variant>
        <vt:lpwstr/>
      </vt:variant>
      <vt:variant>
        <vt:i4>6815850</vt:i4>
      </vt:variant>
      <vt:variant>
        <vt:i4>6</vt:i4>
      </vt:variant>
      <vt:variant>
        <vt:i4>0</vt:i4>
      </vt:variant>
      <vt:variant>
        <vt:i4>5</vt:i4>
      </vt:variant>
      <vt:variant>
        <vt:lpwstr>https://www.medicaid.state.ar.us/Download/provider/pharm/ClaimEdits.xls</vt:lpwstr>
      </vt:variant>
      <vt:variant>
        <vt:lpwstr/>
      </vt:variant>
      <vt:variant>
        <vt:i4>6881388</vt:i4>
      </vt:variant>
      <vt:variant>
        <vt:i4>3</vt:i4>
      </vt:variant>
      <vt:variant>
        <vt:i4>0</vt:i4>
      </vt:variant>
      <vt:variant>
        <vt:i4>5</vt:i4>
      </vt:variant>
      <vt:variant>
        <vt:lpwstr>https://www.medicaid.state.ar.us/Download/provider/pharm/PACriteria.pdf</vt:lpwstr>
      </vt:variant>
      <vt:variant>
        <vt:lpwstr/>
      </vt:variant>
      <vt:variant>
        <vt:i4>2556030</vt:i4>
      </vt:variant>
      <vt:variant>
        <vt:i4>0</vt:i4>
      </vt:variant>
      <vt:variant>
        <vt:i4>0</vt:i4>
      </vt:variant>
      <vt:variant>
        <vt:i4>5</vt:i4>
      </vt:variant>
      <vt:variant>
        <vt:lpwstr>http://dhsshare/DHS Graphics/!arkseal2.jpg</vt:lpwstr>
      </vt:variant>
      <vt:variant>
        <vt:lpwstr/>
      </vt:variant>
      <vt:variant>
        <vt:i4>2556030</vt:i4>
      </vt:variant>
      <vt:variant>
        <vt:i4>2139</vt:i4>
      </vt:variant>
      <vt:variant>
        <vt:i4>1026</vt:i4>
      </vt:variant>
      <vt:variant>
        <vt:i4>4</vt:i4>
      </vt:variant>
      <vt:variant>
        <vt:lpwstr>http://dhsshare/DHS Graphics/!arkseal2.jpg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Drug Utilization Review Board Edits</dc:title>
  <dc:creator/>
  <cp:lastModifiedBy/>
  <cp:revision>1</cp:revision>
  <dcterms:created xsi:type="dcterms:W3CDTF">2014-09-26T17:09:00Z</dcterms:created>
  <dcterms:modified xsi:type="dcterms:W3CDTF">2014-09-26T17:09:00Z</dcterms:modified>
</cp:coreProperties>
</file>