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7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360"/>
        <w:gridCol w:w="3960"/>
        <w:gridCol w:w="450"/>
        <w:gridCol w:w="810"/>
        <w:gridCol w:w="2250"/>
        <w:gridCol w:w="1894"/>
      </w:tblGrid>
      <w:tr w:rsidR="004C1641" w:rsidRPr="00866896" w14:paraId="044C134B" w14:textId="77777777" w:rsidTr="00866896">
        <w:trPr>
          <w:trHeight w:val="467"/>
          <w:jc w:val="center"/>
        </w:trPr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29AAF032" w14:textId="77777777" w:rsidR="00641709" w:rsidRPr="00866896" w:rsidRDefault="00641709" w:rsidP="004F5703">
            <w:pPr>
              <w:pStyle w:val="CellHead"/>
              <w:spacing w:before="0" w:after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Date / Time:</w:t>
            </w:r>
          </w:p>
        </w:tc>
        <w:tc>
          <w:tcPr>
            <w:tcW w:w="192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D6756" w14:textId="0E834EE6" w:rsidR="00641709" w:rsidRPr="00866896" w:rsidRDefault="00C008D9" w:rsidP="004F5703">
            <w:pPr>
              <w:pStyle w:val="CellBody"/>
              <w:spacing w:before="0" w:after="0" w:line="216" w:lineRule="auto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June 10</w:t>
            </w:r>
            <w:r w:rsidR="00676BA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, 2026</w:t>
            </w:r>
            <w:r w:rsidR="0064170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                                                        </w:t>
            </w:r>
            <w:r w:rsidR="00676BA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1</w:t>
            </w:r>
            <w:r w:rsidR="0064170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2:00-</w:t>
            </w:r>
            <w:r w:rsidR="00676BA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1</w:t>
            </w:r>
            <w:r w:rsidR="0064170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:00 P</w:t>
            </w:r>
            <w:r w:rsidR="00641709" w:rsidRPr="00866896">
              <w:rPr>
                <w:rFonts w:ascii="Source Sans Pro" w:hAnsi="Source Sans Pro" w:cs="Calibri"/>
                <w:sz w:val="24"/>
                <w:szCs w:val="24"/>
              </w:rPr>
              <w:t>M Central</w:t>
            </w:r>
          </w:p>
        </w:tc>
        <w:tc>
          <w:tcPr>
            <w:tcW w:w="56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/>
            <w:vAlign w:val="center"/>
          </w:tcPr>
          <w:p w14:paraId="6C02186B" w14:textId="49C5F32C" w:rsidR="00641709" w:rsidRPr="00866896" w:rsidRDefault="00641709" w:rsidP="00866896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Locati</w:t>
            </w:r>
            <w:r w:rsidR="00866896">
              <w:rPr>
                <w:rFonts w:ascii="Source Sans Pro" w:hAnsi="Source Sans Pro" w:cs="Calibri"/>
                <w:sz w:val="24"/>
                <w:szCs w:val="24"/>
              </w:rPr>
              <w:t>o</w:t>
            </w:r>
            <w:r w:rsidRPr="00866896">
              <w:rPr>
                <w:rFonts w:ascii="Source Sans Pro" w:hAnsi="Source Sans Pro" w:cs="Calibri"/>
                <w:sz w:val="24"/>
                <w:szCs w:val="24"/>
              </w:rPr>
              <w:t>n:</w:t>
            </w:r>
          </w:p>
        </w:tc>
        <w:tc>
          <w:tcPr>
            <w:tcW w:w="184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FBA55" w14:textId="77777777" w:rsidR="00641709" w:rsidRPr="00866896" w:rsidRDefault="00641709" w:rsidP="004F5703">
            <w:pPr>
              <w:pStyle w:val="CellBody"/>
              <w:spacing w:before="0" w:after="0" w:line="216" w:lineRule="auto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Teams webinar</w:t>
            </w:r>
          </w:p>
        </w:tc>
      </w:tr>
      <w:tr w:rsidR="004C1641" w:rsidRPr="00866896" w14:paraId="4213E5FC" w14:textId="77777777" w:rsidTr="00866896">
        <w:trPr>
          <w:trHeight w:val="224"/>
          <w:jc w:val="center"/>
        </w:trPr>
        <w:tc>
          <w:tcPr>
            <w:tcW w:w="678" w:type="pct"/>
            <w:tcBorders>
              <w:top w:val="single" w:sz="4" w:space="0" w:color="000000" w:themeColor="text1"/>
            </w:tcBorders>
            <w:shd w:val="clear" w:color="auto" w:fill="D9D9D9"/>
          </w:tcPr>
          <w:p w14:paraId="758CD180" w14:textId="77777777" w:rsidR="00641709" w:rsidRPr="00866896" w:rsidRDefault="00641709" w:rsidP="001F465A">
            <w:pPr>
              <w:pStyle w:val="CellHead"/>
              <w:spacing w:before="0" w:after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Chair:</w:t>
            </w:r>
          </w:p>
        </w:tc>
        <w:tc>
          <w:tcPr>
            <w:tcW w:w="1920" w:type="pct"/>
            <w:gridSpan w:val="2"/>
            <w:tcBorders>
              <w:top w:val="single" w:sz="4" w:space="0" w:color="000000" w:themeColor="text1"/>
            </w:tcBorders>
          </w:tcPr>
          <w:p w14:paraId="364E109D" w14:textId="77777777" w:rsidR="00641709" w:rsidRPr="00866896" w:rsidRDefault="00641709" w:rsidP="001F465A">
            <w:pPr>
              <w:pStyle w:val="CellBody"/>
              <w:spacing w:before="0" w:after="0" w:line="216" w:lineRule="auto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Cindi Pearson, Pharm.D.</w:t>
            </w:r>
          </w:p>
        </w:tc>
        <w:tc>
          <w:tcPr>
            <w:tcW w:w="560" w:type="pct"/>
            <w:gridSpan w:val="2"/>
            <w:tcBorders>
              <w:top w:val="single" w:sz="4" w:space="0" w:color="000000" w:themeColor="text1"/>
              <w:bottom w:val="single" w:sz="6" w:space="0" w:color="000000"/>
            </w:tcBorders>
            <w:shd w:val="clear" w:color="auto" w:fill="D9D9D9" w:themeFill="background1" w:themeFillShade="D9"/>
          </w:tcPr>
          <w:p w14:paraId="6BE02D46" w14:textId="77777777" w:rsidR="00641709" w:rsidRPr="00866896" w:rsidRDefault="00641709" w:rsidP="001F465A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Reports:</w:t>
            </w:r>
          </w:p>
        </w:tc>
        <w:tc>
          <w:tcPr>
            <w:tcW w:w="1842" w:type="pct"/>
            <w:gridSpan w:val="2"/>
            <w:tcBorders>
              <w:top w:val="single" w:sz="4" w:space="0" w:color="000000" w:themeColor="text1"/>
              <w:bottom w:val="single" w:sz="6" w:space="0" w:color="000000"/>
              <w:right w:val="nil"/>
            </w:tcBorders>
            <w:vAlign w:val="center"/>
          </w:tcPr>
          <w:p w14:paraId="36DC7226" w14:textId="03B110B7" w:rsidR="00641709" w:rsidRPr="00866896" w:rsidRDefault="00641709" w:rsidP="004F5703">
            <w:pPr>
              <w:pStyle w:val="CellBody"/>
              <w:spacing w:before="0" w:after="0" w:line="216" w:lineRule="auto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 xml:space="preserve">Brooke Owens, Pharm.D. </w:t>
            </w:r>
            <w:r w:rsidR="00866896">
              <w:rPr>
                <w:rFonts w:ascii="Source Sans Pro" w:hAnsi="Source Sans Pro" w:cs="Calibri"/>
                <w:sz w:val="24"/>
                <w:szCs w:val="24"/>
              </w:rPr>
              <w:t xml:space="preserve">                                            </w:t>
            </w:r>
            <w:r w:rsidRPr="00866896">
              <w:rPr>
                <w:rFonts w:ascii="Source Sans Pro" w:hAnsi="Source Sans Pro" w:cs="Calibri"/>
                <w:sz w:val="24"/>
                <w:szCs w:val="24"/>
              </w:rPr>
              <w:t>Prime Therapeutics</w:t>
            </w:r>
          </w:p>
        </w:tc>
      </w:tr>
      <w:tr w:rsidR="004C1641" w:rsidRPr="00866896" w14:paraId="6961624A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06AC7A5" w14:textId="77777777" w:rsidR="00641709" w:rsidRPr="00866896" w:rsidRDefault="00641709" w:rsidP="004F5703">
            <w:pPr>
              <w:pStyle w:val="CellHead"/>
              <w:spacing w:before="0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Attendance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79C946" w14:textId="77777777" w:rsidR="00641709" w:rsidRPr="00866896" w:rsidRDefault="00641709" w:rsidP="004F5703">
            <w:pPr>
              <w:pStyle w:val="CellBody"/>
              <w:spacing w:before="0"/>
              <w:ind w:hanging="37"/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A2B7572" w14:textId="77777777" w:rsidR="00641709" w:rsidRPr="00866896" w:rsidRDefault="00641709" w:rsidP="004F5703">
            <w:pPr>
              <w:pStyle w:val="CellBody"/>
              <w:spacing w:before="0"/>
              <w:ind w:hanging="37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sz w:val="24"/>
                <w:szCs w:val="24"/>
              </w:rPr>
              <w:t>Panelist (voting members)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45695C" w14:textId="77777777" w:rsidR="00641709" w:rsidRPr="00866896" w:rsidRDefault="00641709" w:rsidP="004F5703">
            <w:pPr>
              <w:pStyle w:val="CellBody"/>
              <w:spacing w:before="0"/>
              <w:ind w:hanging="37"/>
              <w:jc w:val="center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E7CB2E" w14:textId="77777777" w:rsidR="00641709" w:rsidRPr="00866896" w:rsidRDefault="00641709" w:rsidP="004F5703">
            <w:pPr>
              <w:pStyle w:val="CellBody"/>
              <w:spacing w:before="0"/>
              <w:ind w:hanging="37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sz w:val="24"/>
                <w:szCs w:val="24"/>
              </w:rPr>
              <w:t>Panelist (non-voting members)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6A9EF7" w14:textId="77777777" w:rsidR="00641709" w:rsidRPr="00866896" w:rsidRDefault="00641709" w:rsidP="004F5703">
            <w:pPr>
              <w:pStyle w:val="CellBody"/>
              <w:spacing w:before="0"/>
              <w:ind w:hanging="37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sz w:val="24"/>
                <w:szCs w:val="24"/>
              </w:rPr>
              <w:t>Organization</w:t>
            </w:r>
          </w:p>
        </w:tc>
      </w:tr>
      <w:tr w:rsidR="004C1641" w:rsidRPr="00866896" w14:paraId="64DFB8DA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80494B0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8FBAE" w14:textId="77777777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C1096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Ashley Crawley,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5242E" w14:textId="7777777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9E2CF" w14:textId="4CA12E09" w:rsidR="00641709" w:rsidRPr="00866896" w:rsidRDefault="00C008D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Ginny Yates</w:t>
            </w:r>
            <w:r w:rsidR="00641709" w:rsidRPr="00866896">
              <w:rPr>
                <w:rFonts w:ascii="Source Sans Pro" w:hAnsi="Source Sans Pro" w:cs="Calibri"/>
                <w:sz w:val="24"/>
                <w:szCs w:val="24"/>
              </w:rPr>
              <w:t>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F4F00D6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 xml:space="preserve">ATC </w:t>
            </w:r>
          </w:p>
        </w:tc>
      </w:tr>
      <w:tr w:rsidR="004C1641" w:rsidRPr="00866896" w14:paraId="610D2EB0" w14:textId="77777777" w:rsidTr="00866896">
        <w:tblPrEx>
          <w:tblLook w:val="04A0" w:firstRow="1" w:lastRow="0" w:firstColumn="1" w:lastColumn="0" w:noHBand="0" w:noVBand="1"/>
        </w:tblPrEx>
        <w:trPr>
          <w:trHeight w:val="390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5C37C5A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7DE2" w14:textId="1E7BE576" w:rsidR="00641709" w:rsidRPr="00866896" w:rsidRDefault="00B87E1E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8243D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Gabriella Douglass,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30988" w14:textId="3F26674D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18A49" w14:textId="36A2D76E" w:rsidR="00641709" w:rsidRPr="00866896" w:rsidRDefault="00C008D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Travis Gau</w:t>
            </w:r>
            <w:r w:rsidR="00641709" w:rsidRPr="00866896">
              <w:rPr>
                <w:rFonts w:ascii="Source Sans Pro" w:hAnsi="Source Sans Pro" w:cs="Calibri"/>
                <w:sz w:val="24"/>
                <w:szCs w:val="24"/>
              </w:rPr>
              <w:t>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7A2F13B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 xml:space="preserve">Empower </w:t>
            </w:r>
          </w:p>
        </w:tc>
      </w:tr>
      <w:tr w:rsidR="004C1641" w:rsidRPr="00866896" w14:paraId="45F3DB70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1C4F000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81695" w14:textId="77777777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6F8CC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William Golden, 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35318" w14:textId="3ADAF32E" w:rsidR="00641709" w:rsidRPr="00866896" w:rsidRDefault="00866896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7A746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Lauren Jimerson,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A38F3F6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Summit</w:t>
            </w:r>
          </w:p>
        </w:tc>
      </w:tr>
      <w:tr w:rsidR="004C1641" w:rsidRPr="00866896" w14:paraId="6D7CF66E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73644EF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F5838" w14:textId="77777777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83C8D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Melissa Max,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7CFC1" w14:textId="7777777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9F37B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Jessica Lawson,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71EA3C0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CareSource</w:t>
            </w:r>
          </w:p>
        </w:tc>
      </w:tr>
      <w:tr w:rsidR="004C1641" w:rsidRPr="00866896" w14:paraId="1E83430B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E06D990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5500B" w14:textId="77777777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C6AAB" w14:textId="04208BEE" w:rsidR="00641709" w:rsidRPr="00866896" w:rsidRDefault="00B87E1E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 xml:space="preserve">Christopher </w:t>
            </w:r>
            <w:r w:rsidR="00CE0023" w:rsidRPr="00866896">
              <w:rPr>
                <w:rFonts w:ascii="Source Sans Pro" w:hAnsi="Source Sans Pro" w:cs="Calibri"/>
                <w:sz w:val="24"/>
                <w:szCs w:val="24"/>
              </w:rPr>
              <w:t>Smith,</w:t>
            </w:r>
            <w:r w:rsidR="00641709" w:rsidRPr="00866896">
              <w:rPr>
                <w:rFonts w:ascii="Source Sans Pro" w:hAnsi="Source Sans Pro" w:cs="Calibri"/>
                <w:sz w:val="24"/>
                <w:szCs w:val="24"/>
              </w:rPr>
              <w:t xml:space="preserve"> M.D. 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5168F" w14:textId="3F55D21C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F5047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Ifeyinwa Onowu,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B379605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CareSource</w:t>
            </w:r>
          </w:p>
        </w:tc>
      </w:tr>
      <w:tr w:rsidR="004C1641" w:rsidRPr="00866896" w14:paraId="48E7E140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CAFAEFA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AD86637" w14:textId="77777777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76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AD62B11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sz w:val="24"/>
                <w:szCs w:val="24"/>
              </w:rPr>
              <w:t>Panelist (non-voting) Prime Therapeutics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EF1FB" w14:textId="7777777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61CF9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Cindi Pearson,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32260CA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DHS, DUR Chair</w:t>
            </w:r>
          </w:p>
        </w:tc>
      </w:tr>
      <w:tr w:rsidR="004C1641" w:rsidRPr="00866896" w14:paraId="564390F6" w14:textId="77777777" w:rsidTr="00866896">
        <w:tblPrEx>
          <w:tblLook w:val="04A0" w:firstRow="1" w:lastRow="0" w:firstColumn="1" w:lastColumn="0" w:noHBand="0" w:noVBand="1"/>
        </w:tblPrEx>
        <w:trPr>
          <w:trHeight w:val="23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2B9331D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A915E" w14:textId="365A3EC2" w:rsidR="00641709" w:rsidRPr="00866896" w:rsidRDefault="00CE0023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6E9B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Karen Evans, P.D.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B2EA2" w14:textId="728F6B2D" w:rsidR="00641709" w:rsidRPr="00866896" w:rsidRDefault="00C008D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067F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Cynthia Neuhofel,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C7B038A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DHS pharmacy</w:t>
            </w:r>
          </w:p>
        </w:tc>
      </w:tr>
      <w:tr w:rsidR="004C1641" w:rsidRPr="00866896" w14:paraId="61D96CF3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91D004F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1D9D2" w14:textId="2CD6F26D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E48B3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Jeniffer Martin,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7B4B9" w14:textId="57D0711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bCs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F1CE" w14:textId="5D9599A5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Elizabeth Pitman</w:t>
            </w:r>
            <w:r w:rsidR="00C13F2F" w:rsidRPr="00866896">
              <w:rPr>
                <w:rFonts w:ascii="Source Sans Pro" w:hAnsi="Source Sans Pro" w:cs="Calibri"/>
                <w:sz w:val="24"/>
                <w:szCs w:val="24"/>
              </w:rPr>
              <w:t>, J.D.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B652216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DHS DMS director</w:t>
            </w:r>
          </w:p>
        </w:tc>
      </w:tr>
      <w:tr w:rsidR="00CE0023" w:rsidRPr="00866896" w14:paraId="29ED03A1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D3580A3" w14:textId="77777777" w:rsidR="00CE0023" w:rsidRPr="00866896" w:rsidRDefault="00CE0023" w:rsidP="00CE002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EFAA" w14:textId="4D1EFAF1" w:rsidR="00CE0023" w:rsidRPr="00866896" w:rsidRDefault="00CE0023" w:rsidP="00CE002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B2FBD" w14:textId="77777777" w:rsidR="00CE0023" w:rsidRPr="00866896" w:rsidRDefault="00CE0023" w:rsidP="00CE002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Lesley Irons,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33D7A" w14:textId="567448FA" w:rsidR="00CE0023" w:rsidRPr="00866896" w:rsidRDefault="00CE0023" w:rsidP="00CE002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46AA" w14:textId="66F57ABD" w:rsidR="00CE0023" w:rsidRPr="00866896" w:rsidRDefault="00CE0023" w:rsidP="00CE002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Shane David, Pharm.D.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7275BD53" w14:textId="2DBC428D" w:rsidR="00CE0023" w:rsidRPr="00866896" w:rsidRDefault="00CE0023" w:rsidP="00CE002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ADH advisor</w:t>
            </w:r>
          </w:p>
        </w:tc>
      </w:tr>
      <w:tr w:rsidR="004C1641" w:rsidRPr="00866896" w14:paraId="29093354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B0EF50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98FE8" w14:textId="388DC3FF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26177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Linsey Gillam,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2211F630" w14:textId="5471AAC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261E4EC1" w14:textId="4DF1E882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 w:themeFill="text1"/>
            <w:vAlign w:val="center"/>
          </w:tcPr>
          <w:p w14:paraId="73C0083E" w14:textId="6402793C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4C1641" w:rsidRPr="00866896" w14:paraId="08EAE435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102DA48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CE1E9" w14:textId="31A4DC50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374BE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Alyson Greenwood,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30D299B5" w14:textId="7777777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1A5F71D3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 w:themeFill="text1"/>
            <w:vAlign w:val="center"/>
          </w:tcPr>
          <w:p w14:paraId="5A9E608D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4C1641" w:rsidRPr="00866896" w14:paraId="6C467E56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64176B5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3D31A" w14:textId="1CA4B844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63BA6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Brooke Owens,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78DB39C6" w14:textId="7777777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0D446568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 w:themeFill="text1"/>
            <w:vAlign w:val="center"/>
          </w:tcPr>
          <w:p w14:paraId="13F2FFA8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4C1641" w:rsidRPr="00866896" w14:paraId="1E807C07" w14:textId="77777777" w:rsidTr="00866896">
        <w:tblPrEx>
          <w:tblLook w:val="04A0" w:firstRow="1" w:lastRow="0" w:firstColumn="1" w:lastColumn="0" w:noHBand="0" w:noVBand="1"/>
        </w:tblPrEx>
        <w:trPr>
          <w:trHeight w:val="147"/>
          <w:jc w:val="center"/>
        </w:trPr>
        <w:tc>
          <w:tcPr>
            <w:tcW w:w="678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7698CD2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b/>
                <w:bCs/>
                <w:sz w:val="24"/>
                <w:szCs w:val="24"/>
              </w:rPr>
            </w:pP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C3D90" w14:textId="763DBBF3" w:rsidR="00641709" w:rsidRPr="00866896" w:rsidRDefault="00641709" w:rsidP="004F5703">
            <w:pPr>
              <w:pStyle w:val="CellBody"/>
              <w:spacing w:before="0"/>
              <w:ind w:left="73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X</w:t>
            </w:r>
          </w:p>
        </w:tc>
        <w:tc>
          <w:tcPr>
            <w:tcW w:w="1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29F05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sz w:val="24"/>
                <w:szCs w:val="24"/>
              </w:rPr>
              <w:t>Allison Sweeney, Pharm.D.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6AFB5742" w14:textId="77777777" w:rsidR="00641709" w:rsidRPr="00866896" w:rsidRDefault="00641709" w:rsidP="004F5703">
            <w:pPr>
              <w:pStyle w:val="CellBody"/>
              <w:spacing w:before="0"/>
              <w:jc w:val="center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136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vAlign w:val="center"/>
          </w:tcPr>
          <w:p w14:paraId="474F7404" w14:textId="77777777" w:rsidR="00641709" w:rsidRPr="00866896" w:rsidRDefault="00641709" w:rsidP="004F5703">
            <w:pPr>
              <w:pStyle w:val="CellBody"/>
              <w:spacing w:before="0"/>
              <w:rPr>
                <w:rFonts w:ascii="Source Sans Pro" w:hAnsi="Source Sans Pro" w:cs="Calibri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0000" w:themeFill="text1"/>
            <w:vAlign w:val="center"/>
          </w:tcPr>
          <w:p w14:paraId="4E228CCD" w14:textId="77777777" w:rsidR="00641709" w:rsidRPr="00866896" w:rsidRDefault="00641709" w:rsidP="004F5703">
            <w:pPr>
              <w:spacing w:after="40"/>
              <w:rPr>
                <w:rFonts w:ascii="Source Sans Pro" w:hAnsi="Source Sans Pro" w:cs="Calibri"/>
                <w:sz w:val="24"/>
                <w:szCs w:val="24"/>
              </w:rPr>
            </w:pPr>
          </w:p>
        </w:tc>
      </w:tr>
      <w:tr w:rsidR="00641709" w:rsidRPr="00866896" w14:paraId="4ACC3FAE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67F4CEB5" w14:textId="77777777" w:rsidR="00641709" w:rsidRPr="00866896" w:rsidRDefault="0064170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Call to order</w:t>
            </w:r>
          </w:p>
        </w:tc>
        <w:tc>
          <w:tcPr>
            <w:tcW w:w="160" w:type="pct"/>
          </w:tcPr>
          <w:p w14:paraId="35AADE5B" w14:textId="77777777" w:rsidR="00641709" w:rsidRPr="00866896" w:rsidRDefault="0064170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77211269" w14:textId="58ABCC1A" w:rsidR="00641709" w:rsidRPr="00866896" w:rsidRDefault="00641709" w:rsidP="004F5703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Meeting held virtually by Teams webinar. A quorum was present, and the chair called the meeting to order at </w:t>
            </w:r>
            <w:r w:rsidR="009F4A9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12:0</w:t>
            </w:r>
            <w:r w:rsidR="00C008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2</w:t>
            </w:r>
            <w:r w:rsidR="009F4A9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pm.</w:t>
            </w:r>
            <w:r w:rsidR="00BD543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No members had any conflicts of interest on agenda items.</w:t>
            </w:r>
            <w:r w:rsidR="006D403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Dr. Pearson and Dr. Owens d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>id</w:t>
            </w:r>
            <w:r w:rsidR="006D403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not have any conflicts.</w:t>
            </w:r>
          </w:p>
        </w:tc>
      </w:tr>
      <w:tr w:rsidR="00641709" w:rsidRPr="00866896" w14:paraId="51BF5495" w14:textId="77777777" w:rsidTr="00866896">
        <w:tblPrEx>
          <w:tblLook w:val="01E0" w:firstRow="1" w:lastRow="1" w:firstColumn="1" w:lastColumn="1" w:noHBand="0" w:noVBand="0"/>
        </w:tblPrEx>
        <w:trPr>
          <w:trHeight w:val="372"/>
          <w:jc w:val="center"/>
        </w:trPr>
        <w:tc>
          <w:tcPr>
            <w:tcW w:w="678" w:type="pct"/>
            <w:shd w:val="clear" w:color="auto" w:fill="D9D9D9"/>
          </w:tcPr>
          <w:p w14:paraId="3B92B932" w14:textId="2812A3AC" w:rsidR="00641709" w:rsidRPr="00866896" w:rsidRDefault="0064170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Public Comments</w:t>
            </w:r>
          </w:p>
        </w:tc>
        <w:tc>
          <w:tcPr>
            <w:tcW w:w="160" w:type="pct"/>
          </w:tcPr>
          <w:p w14:paraId="06D7933A" w14:textId="77777777" w:rsidR="00641709" w:rsidRPr="00866896" w:rsidRDefault="0064170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3E8D0C0E" w14:textId="43B14FBF" w:rsidR="00641709" w:rsidRPr="00866896" w:rsidRDefault="00FD2C7F" w:rsidP="00FD2C7F">
            <w:pPr>
              <w:pStyle w:val="ListParagraph"/>
              <w:numPr>
                <w:ilvl w:val="0"/>
                <w:numId w:val="3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Andrew Delgado, PharmD, PhD</w:t>
            </w:r>
            <w:r w:rsidR="0098065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with Bristol Myers Squibb on O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>PDIVO</w:t>
            </w:r>
            <w:r w:rsidR="0098065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</w:p>
          <w:p w14:paraId="1737C64E" w14:textId="51CD6A63" w:rsidR="00C008D9" w:rsidRPr="00866896" w:rsidRDefault="00C008D9" w:rsidP="00FD2C7F">
            <w:pPr>
              <w:pStyle w:val="ListParagraph"/>
              <w:numPr>
                <w:ilvl w:val="0"/>
                <w:numId w:val="3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Kay Smarzinkski, OD with Genentech on V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>ABYSMO</w:t>
            </w:r>
          </w:p>
        </w:tc>
      </w:tr>
      <w:tr w:rsidR="004E32F3" w:rsidRPr="00866896" w14:paraId="12F9564A" w14:textId="77777777" w:rsidTr="00866896">
        <w:tblPrEx>
          <w:tblLook w:val="01E0" w:firstRow="1" w:lastRow="1" w:firstColumn="1" w:lastColumn="1" w:noHBand="0" w:noVBand="0"/>
        </w:tblPrEx>
        <w:trPr>
          <w:trHeight w:val="372"/>
          <w:jc w:val="center"/>
        </w:trPr>
        <w:tc>
          <w:tcPr>
            <w:tcW w:w="678" w:type="pct"/>
            <w:shd w:val="clear" w:color="auto" w:fill="D9D9D9"/>
          </w:tcPr>
          <w:p w14:paraId="1499D956" w14:textId="6E5B4867" w:rsidR="004E32F3" w:rsidRPr="00866896" w:rsidRDefault="004E32F3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Minutes</w:t>
            </w:r>
          </w:p>
        </w:tc>
        <w:tc>
          <w:tcPr>
            <w:tcW w:w="160" w:type="pct"/>
          </w:tcPr>
          <w:p w14:paraId="6D337F20" w14:textId="77777777" w:rsidR="004E32F3" w:rsidRPr="00866896" w:rsidRDefault="004E32F3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6BA0CD85" w14:textId="07E7B5EC" w:rsidR="004E32F3" w:rsidRPr="00866896" w:rsidRDefault="002E4AA0" w:rsidP="004E32F3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C008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March 2026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DUR Subcommittee meeting minutes as presented was made by Dr. Crawley; second by Dr. </w:t>
            </w:r>
            <w:r w:rsidR="00C008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Max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 of the minutes as written. Motion passed.</w:t>
            </w:r>
          </w:p>
        </w:tc>
      </w:tr>
      <w:tr w:rsidR="00641709" w:rsidRPr="00866896" w14:paraId="047477B6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5C800CE6" w14:textId="6520413C" w:rsidR="00641709" w:rsidRPr="00866896" w:rsidRDefault="0064170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Announcements</w:t>
            </w:r>
          </w:p>
        </w:tc>
        <w:tc>
          <w:tcPr>
            <w:tcW w:w="160" w:type="pct"/>
          </w:tcPr>
          <w:p w14:paraId="377BAC58" w14:textId="77777777" w:rsidR="00641709" w:rsidRPr="00866896" w:rsidRDefault="0064170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0FC894C0" w14:textId="4AD86AB4" w:rsidR="001F465A" w:rsidRPr="00866896" w:rsidRDefault="00565E37" w:rsidP="001F465A">
            <w:pPr>
              <w:pStyle w:val="ListParagraph"/>
              <w:numPr>
                <w:ilvl w:val="0"/>
                <w:numId w:val="1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Pearson notified the Subcommittee that the DUR Board voted to approve the recommendations from the </w:t>
            </w:r>
            <w:r w:rsidR="00C008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March 2026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meeting and </w:t>
            </w:r>
            <w:r w:rsidR="009A772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updates were effective on that date, </w:t>
            </w:r>
            <w:r w:rsidR="00C008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April 15, 2026</w:t>
            </w:r>
            <w:r w:rsidR="009A772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Monographs were posted that day.</w:t>
            </w:r>
          </w:p>
          <w:p w14:paraId="1E8F8F2D" w14:textId="2985A066" w:rsidR="00F97D81" w:rsidRPr="00866896" w:rsidRDefault="00F97D81" w:rsidP="001F465A">
            <w:pPr>
              <w:pStyle w:val="ListParagraph"/>
              <w:numPr>
                <w:ilvl w:val="0"/>
                <w:numId w:val="1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Owens presented </w:t>
            </w:r>
            <w:r w:rsidR="0059264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the monographs </w:t>
            </w:r>
            <w:r w:rsidR="00C008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approved during April 2026 DUR Board meeting</w:t>
            </w:r>
            <w:r w:rsidR="0059264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</w:t>
            </w:r>
          </w:p>
        </w:tc>
      </w:tr>
      <w:tr w:rsidR="00C008D9" w:rsidRPr="00866896" w14:paraId="3461D529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2678A8D4" w14:textId="02B9B1FB" w:rsidR="00C008D9" w:rsidRPr="00866896" w:rsidRDefault="00C008D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General Monograph Updates</w:t>
            </w:r>
          </w:p>
        </w:tc>
        <w:tc>
          <w:tcPr>
            <w:tcW w:w="160" w:type="pct"/>
          </w:tcPr>
          <w:p w14:paraId="7DF1941E" w14:textId="77777777" w:rsidR="00C008D9" w:rsidRPr="00866896" w:rsidRDefault="00C008D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1005B6C0" w14:textId="77777777" w:rsidR="00C008D9" w:rsidRPr="00866896" w:rsidRDefault="005C6924" w:rsidP="006D403A">
            <w:pPr>
              <w:pStyle w:val="ListParagraph"/>
              <w:numPr>
                <w:ilvl w:val="0"/>
                <w:numId w:val="4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</w:t>
            </w:r>
            <w:r w:rsidR="00D71D3A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xpanded indications concerning age</w:t>
            </w:r>
          </w:p>
          <w:p w14:paraId="4461B9F1" w14:textId="77777777" w:rsidR="00866896" w:rsidRPr="00866896" w:rsidRDefault="00866896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  <w:t>Recommendation</w:t>
            </w:r>
          </w:p>
          <w:p w14:paraId="77053107" w14:textId="2EB5A42A" w:rsidR="005E587D" w:rsidRPr="00866896" w:rsidRDefault="00866896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trike/>
                <w:sz w:val="24"/>
                <w:szCs w:val="24"/>
              </w:rPr>
            </w:pPr>
            <w:r>
              <w:rPr>
                <w:rFonts w:ascii="Source Sans Pro" w:hAnsi="Source Sans Pro" w:cs="Calibri"/>
                <w:iCs/>
                <w:sz w:val="24"/>
                <w:szCs w:val="24"/>
              </w:rPr>
              <w:t>A</w:t>
            </w:r>
            <w:r w:rsidR="00C071B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llow updates to a monograph for age-related label expansions without PAD Subcommittee/ DUR Board review. </w:t>
            </w:r>
            <w:r w:rsidR="0097533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These updates will be posted quarterly.</w:t>
            </w:r>
          </w:p>
          <w:p w14:paraId="6791249B" w14:textId="77777777" w:rsidR="004F731A" w:rsidRPr="00866896" w:rsidRDefault="004F731A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1F917D0" w14:textId="64AAD036" w:rsidR="001D0C36" w:rsidRPr="00866896" w:rsidRDefault="001D0C36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</w:t>
            </w:r>
            <w:r w:rsidR="004F731A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ISCUSSION:</w:t>
            </w:r>
          </w:p>
          <w:p w14:paraId="781DBA42" w14:textId="4685763F" w:rsidR="001D0C36" w:rsidRPr="00866896" w:rsidRDefault="007F558F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No comment. </w:t>
            </w:r>
          </w:p>
          <w:p w14:paraId="2C5AAA2B" w14:textId="77777777" w:rsidR="004F731A" w:rsidRPr="00866896" w:rsidRDefault="004F731A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09E4AD5" w14:textId="69C4C37B" w:rsidR="007F558F" w:rsidRPr="00866896" w:rsidRDefault="007F558F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6B4B13AE" w14:textId="37BEF92B" w:rsidR="007F558F" w:rsidRPr="00866896" w:rsidRDefault="007F558F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Crawley</w:t>
            </w:r>
            <w:r w:rsidR="004F731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; second by Dr Dougla</w:t>
            </w:r>
            <w:r w:rsidR="00C071B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="004F731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s. All voting members present voted for approval. Motion passed. </w:t>
            </w:r>
          </w:p>
          <w:p w14:paraId="09EDB07A" w14:textId="77777777" w:rsidR="00AD65AD" w:rsidRDefault="00AD65AD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6A4BF03A" w14:textId="77777777" w:rsidR="00866896" w:rsidRDefault="00866896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E4500AA" w14:textId="77777777" w:rsidR="00866896" w:rsidRDefault="00866896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7DF66198" w14:textId="77777777" w:rsidR="00866896" w:rsidRPr="00866896" w:rsidRDefault="00866896" w:rsidP="005E587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ED52776" w14:textId="77777777" w:rsidR="00475C2D" w:rsidRPr="00866896" w:rsidRDefault="00475C2D" w:rsidP="00475C2D">
            <w:pPr>
              <w:pStyle w:val="ListParagraph"/>
              <w:numPr>
                <w:ilvl w:val="0"/>
                <w:numId w:val="4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Updated or added J-codes (HCPCS code)</w:t>
            </w:r>
          </w:p>
          <w:p w14:paraId="039DCE7D" w14:textId="77777777" w:rsidR="00866896" w:rsidRPr="00866896" w:rsidRDefault="00866896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  <w:t>R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  <w:t xml:space="preserve">ecommendation </w:t>
            </w:r>
          </w:p>
          <w:p w14:paraId="1257B6DB" w14:textId="58074350" w:rsidR="00475C2D" w:rsidRPr="00866896" w:rsidRDefault="00866896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trike/>
                <w:sz w:val="24"/>
                <w:szCs w:val="24"/>
              </w:rPr>
            </w:pPr>
            <w:r>
              <w:rPr>
                <w:rFonts w:ascii="Source Sans Pro" w:hAnsi="Source Sans Pro" w:cs="Calibri"/>
                <w:iCs/>
                <w:sz w:val="24"/>
                <w:szCs w:val="24"/>
              </w:rPr>
              <w:t>A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llow for monographs with </w:t>
            </w:r>
            <w:r w:rsidR="00475C2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medication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 having new or updated J-codes to be updated without PAD Subcommittee/ DUR Board approval</w:t>
            </w:r>
            <w:r w:rsidR="005C27C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These updates will be posted quarterly.</w:t>
            </w:r>
          </w:p>
          <w:p w14:paraId="4A0EB2FE" w14:textId="77777777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0F5A665" w14:textId="77777777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5AFD4EA6" w14:textId="77777777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Crawley stated that it was a fabulous idea. </w:t>
            </w:r>
          </w:p>
          <w:p w14:paraId="42BF2DF7" w14:textId="77777777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B5339A4" w14:textId="77777777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02D72B6A" w14:textId="79E832FB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Crawley; second by Dr Golden. All voting members present voted for approval. Motion passed. </w:t>
            </w:r>
          </w:p>
          <w:p w14:paraId="13A92507" w14:textId="77777777" w:rsidR="00475C2D" w:rsidRPr="00866896" w:rsidRDefault="00475C2D" w:rsidP="00475C2D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7C7F3E38" w14:textId="559165A9" w:rsidR="00475C2D" w:rsidRPr="00866896" w:rsidRDefault="00397BAD" w:rsidP="006D403A">
            <w:pPr>
              <w:pStyle w:val="ListParagraph"/>
              <w:numPr>
                <w:ilvl w:val="0"/>
                <w:numId w:val="4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Biosimilars covered as medical benefit will be added to the current reference product </w:t>
            </w:r>
            <w:r w:rsidR="00F542D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monographs</w:t>
            </w:r>
          </w:p>
          <w:p w14:paraId="3AA68494" w14:textId="77777777" w:rsidR="00866896" w:rsidRPr="00866896" w:rsidRDefault="00866896" w:rsidP="00384239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  <w:u w:val="single"/>
              </w:rPr>
              <w:t>Recommendation</w:t>
            </w:r>
          </w:p>
          <w:p w14:paraId="217114AC" w14:textId="19C39692" w:rsidR="00384239" w:rsidRPr="00866896" w:rsidRDefault="00866896" w:rsidP="00384239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trike/>
                <w:sz w:val="24"/>
                <w:szCs w:val="24"/>
              </w:rPr>
            </w:pPr>
            <w:r>
              <w:rPr>
                <w:rFonts w:ascii="Source Sans Pro" w:hAnsi="Source Sans Pro" w:cs="Calibri"/>
                <w:iCs/>
                <w:sz w:val="24"/>
                <w:szCs w:val="24"/>
              </w:rPr>
              <w:t>A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llow </w:t>
            </w:r>
            <w:r w:rsidR="00CA3A2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biosimilars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97533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that are 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interchangeable for the reference product</w:t>
            </w:r>
            <w:r w:rsidR="00A25DA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to be added </w:t>
            </w:r>
            <w:r w:rsidR="00A25DA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to a</w:t>
            </w:r>
            <w:r w:rsidR="003A135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</w:t>
            </w:r>
            <w:r w:rsidR="00A25DA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already written monograph </w:t>
            </w:r>
            <w:r w:rsidR="00C21C4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for a reference</w:t>
            </w:r>
            <w:r w:rsidR="005C62A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drug</w:t>
            </w:r>
            <w:r w:rsidR="00C21C4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97533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without PAD Subcommittee/ DUR Board approval. Inclusion of the specific biosimilars for medical coverage are subject to an internal review. These updates will be posted quarterly.</w:t>
            </w:r>
          </w:p>
          <w:p w14:paraId="33E7F4AD" w14:textId="77777777" w:rsidR="00CA3A20" w:rsidRPr="00866896" w:rsidRDefault="00CA3A20" w:rsidP="00384239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5410F08F" w14:textId="5FADB598" w:rsidR="003A7B0C" w:rsidRPr="00866896" w:rsidRDefault="00DF4DCC" w:rsidP="003A7B0C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2E03DBEB" w14:textId="789191DE" w:rsidR="00DF4DCC" w:rsidRPr="00866896" w:rsidRDefault="00DF4DCC" w:rsidP="001457CF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</w:t>
            </w:r>
            <w:r w:rsidR="00D3707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r.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Crawley had a question regarding </w:t>
            </w:r>
            <w:r w:rsidR="00322D8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biosimilars and if it was required to send them to the cost committee and </w:t>
            </w:r>
            <w:r w:rsidR="0009484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if there </w:t>
            </w:r>
            <w:r w:rsidR="0024607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w</w:t>
            </w:r>
            <w:r w:rsidR="0045473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as</w:t>
            </w:r>
            <w:r w:rsidR="0009484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any formulary?</w:t>
            </w:r>
            <w:r w:rsidR="00C9381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</w:t>
            </w:r>
            <w:r w:rsidR="00D3707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r. </w:t>
            </w:r>
            <w:r w:rsidR="0045473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Pearson replied</w:t>
            </w:r>
            <w:r w:rsidR="0009484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24607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that there was no PAD PDL so they do not go to the cost committee but on the pharmacy side </w:t>
            </w:r>
            <w:r w:rsidR="00EB6EB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we </w:t>
            </w:r>
            <w:r w:rsidR="00782AF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do,</w:t>
            </w:r>
            <w:r w:rsidR="00521A5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EB6EB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and it will be coming up soon and biosimilars will be presented</w:t>
            </w:r>
            <w:r w:rsidR="00521A5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Biosimilars are not treated any differently from any other </w:t>
            </w:r>
            <w:r w:rsidR="003A2EC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new </w:t>
            </w:r>
            <w:r w:rsidR="00521A5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product</w:t>
            </w:r>
            <w:r w:rsidR="003A2EC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</w:t>
            </w:r>
            <w:r w:rsidR="00D3707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</w:t>
            </w:r>
            <w:r w:rsidR="0045473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Owens also </w:t>
            </w:r>
            <w:r w:rsidR="0030021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responded that</w:t>
            </w:r>
            <w:r w:rsidR="0045473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8A5CB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there is an </w:t>
            </w:r>
            <w:r w:rsidR="00782AF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example</w:t>
            </w:r>
            <w:r w:rsidR="00EB00C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today added for the denosumab </w:t>
            </w:r>
            <w:r w:rsidR="00E92A0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where there are </w:t>
            </w:r>
            <w:r w:rsidR="00FF4E0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quite</w:t>
            </w:r>
            <w:r w:rsidR="00E92A0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 few </w:t>
            </w:r>
            <w:r w:rsidR="00EB665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biosimilars,</w:t>
            </w:r>
            <w:r w:rsidR="00E92A0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FF4E0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but they are not covered as a medical benefit</w:t>
            </w:r>
            <w:r w:rsidR="004E4B1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so it </w:t>
            </w:r>
            <w:r w:rsidR="006721E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won’t</w:t>
            </w:r>
            <w:r w:rsidR="004E4B1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be added to the monograph but there is a different entity </w:t>
            </w:r>
            <w:r w:rsidR="006721E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that </w:t>
            </w:r>
            <w:r w:rsidR="00EF460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decides if they </w:t>
            </w:r>
            <w:r w:rsidR="006721E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will </w:t>
            </w:r>
            <w:r w:rsidR="003D015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approve </w:t>
            </w:r>
            <w:r w:rsidR="00944A9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them </w:t>
            </w:r>
            <w:r w:rsidR="00600DD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to be a part of medical billing rules.</w:t>
            </w:r>
            <w:r w:rsidR="00D3707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Dr. </w:t>
            </w:r>
            <w:r w:rsidR="00600DD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Pearson emphasized the difference </w:t>
            </w:r>
            <w:r w:rsidR="004A63D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between pharmacy and </w:t>
            </w:r>
            <w:r w:rsidR="00E05D9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medical and stated that pharmacy </w:t>
            </w:r>
            <w:r w:rsidR="0026538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must</w:t>
            </w:r>
            <w:r w:rsidR="009A0B8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cover every drug that is </w:t>
            </w:r>
            <w:proofErr w:type="gramStart"/>
            <w:r w:rsidR="009A0B8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rebate</w:t>
            </w:r>
            <w:proofErr w:type="gramEnd"/>
            <w:r w:rsidR="009A0B8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eligible whereas medical does not have to cover </w:t>
            </w:r>
            <w:r w:rsidR="00984C1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every single medication. </w:t>
            </w:r>
            <w:r w:rsidR="00D3707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</w:t>
            </w:r>
            <w:r w:rsidR="00374C9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Neuhofel </w:t>
            </w:r>
            <w:r w:rsidR="008C416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summarized that what we are asking is that </w:t>
            </w:r>
            <w:r w:rsidR="00D347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8C416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biosimilars come out for PAD</w:t>
            </w:r>
            <w:r w:rsidR="00D21BA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benefits a lot of them will get their o</w:t>
            </w:r>
            <w:r w:rsidR="007213A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w</w:t>
            </w:r>
            <w:r w:rsidR="00D21BA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 HCPCS code</w:t>
            </w:r>
            <w:r w:rsidR="007213A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, but since </w:t>
            </w:r>
            <w:r w:rsidR="00D5380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it’s </w:t>
            </w:r>
            <w:r w:rsidR="007213A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the same criteria as the parent product, we</w:t>
            </w:r>
            <w:r w:rsidR="0084268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’re</w:t>
            </w:r>
            <w:r w:rsidR="007213A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asking permission to list those in the monograph </w:t>
            </w:r>
            <w:r w:rsidR="00AE51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for the parent product</w:t>
            </w:r>
            <w:r w:rsidR="0086621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</w:t>
            </w:r>
            <w:r w:rsidR="001457C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It will </w:t>
            </w:r>
            <w:r w:rsidR="00AE51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have its own unique HCPCS </w:t>
            </w:r>
            <w:r w:rsidR="004F667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code,</w:t>
            </w:r>
            <w:r w:rsidR="00AE51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but we want to </w:t>
            </w:r>
            <w:r w:rsidR="00F346D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lump it in and not have to create a whole new monograph since it’s a biosimilar</w:t>
            </w:r>
            <w:r w:rsidR="00A276B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of a parent product</w:t>
            </w:r>
            <w:r w:rsidR="00F346D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</w:t>
            </w:r>
            <w:r w:rsidR="00C839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We will have to take care of all contract billing rules and all the other things that happen on the medical </w:t>
            </w:r>
            <w:r w:rsidR="004F667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side,</w:t>
            </w:r>
            <w:r w:rsidR="00C839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89606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and we </w:t>
            </w:r>
            <w:r w:rsidR="00DC456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will continue to do that process. This is about transparency and the criteria. </w:t>
            </w:r>
            <w:r w:rsidR="007B762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Crawley clarified that </w:t>
            </w:r>
            <w:r w:rsidR="0023587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when the reference product has a J-code </w:t>
            </w:r>
            <w:r w:rsidR="00DB1F5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you want to put all the biosimilar </w:t>
            </w:r>
            <w:r w:rsidR="008117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J-codes under the reference product J-code</w:t>
            </w:r>
            <w:r w:rsidR="00F06FC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</w:t>
            </w:r>
            <w:r w:rsidR="00634AA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</w:t>
            </w:r>
            <w:r w:rsidR="00F06FC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Neuhofel </w:t>
            </w:r>
            <w:r w:rsidR="0025349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stated under the monograph and clarified </w:t>
            </w:r>
            <w:r w:rsidR="006456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that it may have </w:t>
            </w:r>
            <w:r w:rsidR="00710B7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its own unique </w:t>
            </w:r>
            <w:r w:rsidR="00634AA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code,</w:t>
            </w:r>
            <w:r w:rsidR="00710B7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it could be a </w:t>
            </w:r>
            <w:r w:rsidR="006456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Q</w:t>
            </w:r>
            <w:r w:rsidR="00710B7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-</w:t>
            </w:r>
            <w:r w:rsidR="006456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code or a C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-</w:t>
            </w:r>
            <w:r w:rsidR="0086689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code,</w:t>
            </w:r>
            <w:r w:rsidR="006456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and it will have its own unique </w:t>
            </w:r>
            <w:r w:rsidR="008D19F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code,</w:t>
            </w:r>
            <w:r w:rsidR="00013BA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but we just want to look at the clinical side of things</w:t>
            </w:r>
            <w:r w:rsidR="008D19F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to have a transparent monograph. If it’s a PAD drug and biosimilar</w:t>
            </w:r>
            <w:r w:rsidR="0084268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="008D19F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835A8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start coming </w:t>
            </w:r>
            <w:r w:rsidR="003722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out,</w:t>
            </w:r>
            <w:r w:rsidR="00835A8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we can just add it to </w:t>
            </w:r>
            <w:r w:rsidR="0064799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similar</w:t>
            </w:r>
            <w:r w:rsidR="00835A8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64799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criteria,</w:t>
            </w:r>
            <w:r w:rsidR="00835A8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so we don’t have to keep </w:t>
            </w:r>
            <w:r w:rsidR="0000258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creating new criteria </w:t>
            </w:r>
            <w:r w:rsidR="00721AF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for a </w:t>
            </w:r>
            <w:r w:rsidR="005C27C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stand-alone</w:t>
            </w:r>
            <w:r w:rsidR="00721AF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biosimilar that already has a parent monograph. Dr</w:t>
            </w:r>
            <w:r w:rsidR="00634AA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</w:t>
            </w:r>
            <w:r w:rsidR="00721AF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Crawley stated she got it and yes. </w:t>
            </w:r>
          </w:p>
          <w:p w14:paraId="6AAA1FFA" w14:textId="77777777" w:rsidR="002B3E96" w:rsidRPr="00866896" w:rsidRDefault="002B3E96" w:rsidP="001457CF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711B2586" w14:textId="4F81FC5E" w:rsidR="002B3E96" w:rsidRPr="00866896" w:rsidRDefault="002B3E96" w:rsidP="001457CF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5DF78EE8" w14:textId="231B438E" w:rsidR="002B3E96" w:rsidRPr="00866896" w:rsidRDefault="002B3E96" w:rsidP="001457CF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lastRenderedPageBreak/>
              <w:t>Motion to approve the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Golden</w:t>
            </w:r>
            <w:r w:rsidR="003722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Crawley. All voting members present voted for approval. Motion passed. </w:t>
            </w:r>
          </w:p>
          <w:p w14:paraId="37CC5190" w14:textId="1245F308" w:rsidR="003A7B0C" w:rsidRPr="00866896" w:rsidRDefault="003A7B0C" w:rsidP="008070A7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</w:tc>
      </w:tr>
      <w:tr w:rsidR="00641709" w:rsidRPr="00866896" w14:paraId="6E2A0E70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64F32A1E" w14:textId="7EE0F762" w:rsidR="00641709" w:rsidRPr="00866896" w:rsidRDefault="00C008D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lastRenderedPageBreak/>
              <w:t xml:space="preserve">Updated </w:t>
            </w:r>
            <w:r w:rsidR="00641709" w:rsidRPr="00866896">
              <w:rPr>
                <w:rFonts w:ascii="Source Sans Pro" w:hAnsi="Source Sans Pro" w:cs="Calibri"/>
                <w:bCs/>
                <w:sz w:val="24"/>
                <w:szCs w:val="24"/>
              </w:rPr>
              <w:t>Monographs</w:t>
            </w:r>
          </w:p>
        </w:tc>
        <w:tc>
          <w:tcPr>
            <w:tcW w:w="160" w:type="pct"/>
          </w:tcPr>
          <w:p w14:paraId="5FA39D5C" w14:textId="77777777" w:rsidR="00641709" w:rsidRPr="00866896" w:rsidRDefault="0064170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0FF8F7D2" w14:textId="63FF7BCC" w:rsidR="00641709" w:rsidRPr="00866896" w:rsidRDefault="00AD27BE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</w:t>
            </w:r>
            <w:r w:rsidR="005C27C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NHERTU</w:t>
            </w:r>
            <w:r w:rsidR="00BE414B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C97F5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FAM-TRASTUZ</w:t>
            </w:r>
            <w:r w:rsidR="009A2B0D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UMAB</w:t>
            </w:r>
            <w:r w:rsidR="00BE414B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9A2B0D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DERUXTECAN</w:t>
            </w:r>
            <w:r w:rsidR="00BE414B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-</w:t>
            </w:r>
            <w:r w:rsidR="009A2B0D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NXKI</w:t>
            </w:r>
            <w:r w:rsidR="00BE414B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</w:t>
            </w:r>
            <w:r w:rsidR="00894BD5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injection</w:t>
            </w:r>
          </w:p>
          <w:p w14:paraId="7D2D656E" w14:textId="221FDBFC" w:rsidR="00BC2C92" w:rsidRPr="00866896" w:rsidRDefault="00BC2C92" w:rsidP="00944AAE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Owens </w:t>
            </w:r>
            <w:r w:rsidR="006C702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recommended the following changes to the current monograph:</w:t>
            </w:r>
          </w:p>
          <w:p w14:paraId="7E9CD98F" w14:textId="3169C6F4" w:rsidR="000613AE" w:rsidRPr="00866896" w:rsidRDefault="000613AE" w:rsidP="009207C8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Modi</w:t>
            </w:r>
            <w:r w:rsidR="0092116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fied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the indication</w:t>
            </w:r>
            <w:r w:rsidR="0092116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for treatment to match the package insert</w:t>
            </w:r>
          </w:p>
          <w:p w14:paraId="20D3F64E" w14:textId="5986EB24" w:rsidR="000613AE" w:rsidRPr="00866896" w:rsidRDefault="00F2309F" w:rsidP="009207C8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</w:t>
            </w:r>
            <w:r w:rsidR="00064F3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“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fellowship trained</w:t>
            </w:r>
            <w:r w:rsidR="00064F3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”</w:t>
            </w:r>
          </w:p>
          <w:p w14:paraId="5B8159CB" w14:textId="7C965DCE" w:rsidR="00132526" w:rsidRPr="00866896" w:rsidRDefault="0092116C" w:rsidP="009207C8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Added criteria for the new indication of HER2-positive early breast cancer</w:t>
            </w:r>
          </w:p>
          <w:p w14:paraId="1E149128" w14:textId="2C1E3587" w:rsidR="0092116C" w:rsidRPr="00866896" w:rsidRDefault="0092116C" w:rsidP="009207C8">
            <w:pPr>
              <w:pStyle w:val="ListParagraph"/>
              <w:numPr>
                <w:ilvl w:val="0"/>
                <w:numId w:val="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Updated language on the criteria for HER2-positive metastatic breast cancer</w:t>
            </w:r>
          </w:p>
          <w:p w14:paraId="6AF2A356" w14:textId="77777777" w:rsidR="00944AAE" w:rsidRPr="00866896" w:rsidRDefault="00944AAE" w:rsidP="00944A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148F36FF" w14:textId="1376AC7D" w:rsidR="009A0D43" w:rsidRPr="00866896" w:rsidRDefault="00A80044" w:rsidP="00944AA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15D0910B" w14:textId="40CBD509" w:rsidR="00944AAE" w:rsidRPr="00866896" w:rsidRDefault="00612F47" w:rsidP="00944A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  <w:r w:rsidR="009A0D4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</w:t>
            </w:r>
          </w:p>
          <w:p w14:paraId="12EE5638" w14:textId="77777777" w:rsidR="00944AAE" w:rsidRPr="00866896" w:rsidRDefault="00944AAE" w:rsidP="00944AA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57DAA65D" w14:textId="58D55CB9" w:rsidR="00A80044" w:rsidRPr="00866896" w:rsidRDefault="00A80044" w:rsidP="00A80044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6AC99618" w14:textId="587D81B5" w:rsidR="00A80044" w:rsidRPr="00866896" w:rsidRDefault="0029708D" w:rsidP="00A80044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changes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as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</w:t>
            </w:r>
            <w:r w:rsidR="00612F4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Max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</w:t>
            </w:r>
            <w:r w:rsidR="00FB7DD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Golden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passed.</w:t>
            </w:r>
          </w:p>
          <w:p w14:paraId="729F3E35" w14:textId="77777777" w:rsidR="0029708D" w:rsidRPr="00866896" w:rsidRDefault="0029708D" w:rsidP="00A80044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  <w:p w14:paraId="32276A23" w14:textId="1C49ECC2" w:rsidR="00E704AD" w:rsidRPr="00866896" w:rsidRDefault="00E704AD" w:rsidP="00733560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O</w:t>
            </w:r>
            <w:r w:rsidR="005C27C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PDIVO</w:t>
            </w:r>
            <w:r w:rsidR="00EC0C1A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C97F5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NIVOLUMAB</w:t>
            </w:r>
            <w:r w:rsidR="00EC0C1A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</w:t>
            </w:r>
            <w:r w:rsidR="00894BD5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injection</w:t>
            </w:r>
          </w:p>
          <w:p w14:paraId="29081289" w14:textId="5E82A972" w:rsidR="002A08BA" w:rsidRPr="00866896" w:rsidRDefault="002A08BA" w:rsidP="002A08BA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69A08085" w14:textId="12914667" w:rsidR="00A2380A" w:rsidRPr="00866896" w:rsidRDefault="00C55DC4" w:rsidP="00733560">
            <w:pPr>
              <w:pStyle w:val="ListParagraph"/>
              <w:numPr>
                <w:ilvl w:val="0"/>
                <w:numId w:val="22"/>
              </w:numPr>
              <w:spacing w:line="216" w:lineRule="auto"/>
              <w:ind w:left="108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Modified </w:t>
            </w:r>
            <w:r w:rsidR="0071625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the indications for </w:t>
            </w:r>
            <w:r w:rsidR="005065B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treatment to match the package insert</w:t>
            </w:r>
          </w:p>
          <w:p w14:paraId="13C61D19" w14:textId="5D3FF4B4" w:rsidR="006B739F" w:rsidRPr="00866896" w:rsidRDefault="00385311" w:rsidP="00733560">
            <w:pPr>
              <w:pStyle w:val="ListParagraph"/>
              <w:numPr>
                <w:ilvl w:val="0"/>
                <w:numId w:val="22"/>
              </w:numPr>
              <w:spacing w:line="216" w:lineRule="auto"/>
              <w:ind w:left="108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Added “fellowship trained”</w:t>
            </w:r>
          </w:p>
          <w:p w14:paraId="5C56A2D0" w14:textId="2A130C71" w:rsidR="00385311" w:rsidRPr="00866896" w:rsidRDefault="00F33438" w:rsidP="00733560">
            <w:pPr>
              <w:pStyle w:val="ListParagraph"/>
              <w:numPr>
                <w:ilvl w:val="0"/>
                <w:numId w:val="22"/>
              </w:numPr>
              <w:spacing w:line="216" w:lineRule="auto"/>
              <w:ind w:left="108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Updated the clinical criteria with a</w:t>
            </w:r>
            <w:r w:rsidR="0038531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new </w:t>
            </w:r>
            <w:r w:rsidR="0017360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indication 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for</w:t>
            </w:r>
            <w:r w:rsidR="0017360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classical Hodgkin lymphoma</w:t>
            </w:r>
            <w:r w:rsidR="00E4039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8B79D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and removed from NCCN Recommendations </w:t>
            </w:r>
          </w:p>
          <w:p w14:paraId="67A159E1" w14:textId="77777777" w:rsidR="006B739F" w:rsidRPr="00866896" w:rsidRDefault="006B739F" w:rsidP="00733560">
            <w:pPr>
              <w:spacing w:line="216" w:lineRule="auto"/>
              <w:ind w:left="72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4D6F51E5" w14:textId="77777777" w:rsidR="00A2380A" w:rsidRPr="00866896" w:rsidRDefault="00A2380A" w:rsidP="00A2380A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68138210" w14:textId="19945EC0" w:rsidR="00A2380A" w:rsidRPr="00866896" w:rsidRDefault="00A2380A" w:rsidP="0055302F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</w:p>
          <w:p w14:paraId="68DE8E1C" w14:textId="77777777" w:rsidR="008B79D1" w:rsidRPr="00866896" w:rsidRDefault="008B79D1" w:rsidP="0055302F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4F719EBE" w14:textId="77777777" w:rsidR="00A2380A" w:rsidRPr="00866896" w:rsidRDefault="00A2380A" w:rsidP="00A2380A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54E3AD53" w14:textId="2AD0901F" w:rsidR="00A2380A" w:rsidRPr="00866896" w:rsidRDefault="00A2380A" w:rsidP="00A2380A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</w:t>
            </w:r>
            <w:r w:rsidR="00792DF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Crawley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</w:t>
            </w:r>
            <w:r w:rsidR="00792DFB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Douglas</w:t>
            </w:r>
            <w:r w:rsidR="00F3343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passed.</w:t>
            </w:r>
          </w:p>
          <w:p w14:paraId="613A3545" w14:textId="77777777" w:rsidR="00A2380A" w:rsidRPr="00866896" w:rsidRDefault="00A2380A" w:rsidP="00A2380A">
            <w:pPr>
              <w:ind w:left="72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2BB6E2E3" w14:textId="082FBFD1" w:rsidR="00022DB0" w:rsidRPr="00866896" w:rsidRDefault="00792DFB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</w:t>
            </w:r>
            <w:r w:rsidR="005C27C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AR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ZALEX</w:t>
            </w:r>
            <w:r w:rsidR="00E820B7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F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ASPRO</w:t>
            </w:r>
            <w:r w:rsidR="00E820B7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25067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DARATUMUMAB</w:t>
            </w:r>
            <w:r w:rsidR="00E820B7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and </w:t>
            </w:r>
            <w:r w:rsidR="0025067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HYALU</w:t>
            </w:r>
            <w:r w:rsidR="00C97F5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RONIDASE</w:t>
            </w:r>
            <w:r w:rsidR="00E820B7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-</w:t>
            </w:r>
            <w:r w:rsidR="00C97F5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FIHJ</w:t>
            </w:r>
            <w:r w:rsidR="00183A7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</w:t>
            </w:r>
            <w:r w:rsidR="00894BD5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injection </w:t>
            </w:r>
          </w:p>
          <w:p w14:paraId="210530B1" w14:textId="0785891C" w:rsidR="00D92FBC" w:rsidRPr="00866896" w:rsidRDefault="00D92FBC" w:rsidP="00D92FBC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737C48BA" w14:textId="35E68510" w:rsidR="00B210C1" w:rsidRPr="00866896" w:rsidRDefault="009C28F0" w:rsidP="009207C8">
            <w:pPr>
              <w:pStyle w:val="ListParagraph"/>
              <w:numPr>
                <w:ilvl w:val="0"/>
                <w:numId w:val="16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</w:t>
            </w:r>
            <w:r w:rsidR="00B210C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“The drug is prescribed by a fellowship trained oncologist</w:t>
            </w:r>
            <w:r w:rsidR="008969F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.”</w:t>
            </w:r>
          </w:p>
          <w:p w14:paraId="43262FD5" w14:textId="7C96B36A" w:rsidR="00A26CED" w:rsidRPr="00866896" w:rsidRDefault="00B210C1" w:rsidP="009207C8">
            <w:pPr>
              <w:pStyle w:val="ListParagraph"/>
              <w:numPr>
                <w:ilvl w:val="0"/>
                <w:numId w:val="16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</w:t>
            </w:r>
            <w:r w:rsidR="009C28F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new indication</w:t>
            </w:r>
            <w:r w:rsidR="00F3343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for multiple myeloma treatment</w:t>
            </w:r>
            <w:r w:rsidR="009C28F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under clinical criteria </w:t>
            </w:r>
          </w:p>
          <w:p w14:paraId="78FEF270" w14:textId="77777777" w:rsidR="00A26CED" w:rsidRPr="00866896" w:rsidRDefault="00A26CED" w:rsidP="00A26CED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520595A3" w14:textId="77777777" w:rsidR="00E11DAE" w:rsidRPr="00866896" w:rsidRDefault="00E11DAE" w:rsidP="00E11DA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3B4A6582" w14:textId="77777777" w:rsidR="00E11DAE" w:rsidRPr="00866896" w:rsidRDefault="00E11DAE" w:rsidP="00E11D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</w:p>
          <w:p w14:paraId="3024F728" w14:textId="77777777" w:rsidR="00E11DAE" w:rsidRPr="00866896" w:rsidRDefault="00E11DAE" w:rsidP="00E11DA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152A8596" w14:textId="77777777" w:rsidR="00E11DAE" w:rsidRPr="00866896" w:rsidRDefault="00E11DAE" w:rsidP="00E11DA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1B538CFB" w14:textId="6AB46AAD" w:rsidR="00E11DAE" w:rsidRPr="00866896" w:rsidRDefault="00E11DAE" w:rsidP="00E11D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Golden; second by Dr. Crawley. All voting members present voted for approval. Motion passed.</w:t>
            </w:r>
          </w:p>
          <w:p w14:paraId="671CC50D" w14:textId="77777777" w:rsidR="00E11DAE" w:rsidRPr="00866896" w:rsidRDefault="00E11DAE" w:rsidP="00E11DA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14CEB9FB" w14:textId="37CF7E78" w:rsidR="00104316" w:rsidRPr="00866896" w:rsidRDefault="00C830C8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</w:t>
            </w:r>
            <w:r w:rsidR="00110CB3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ENOSU</w:t>
            </w:r>
            <w:r w:rsidR="00803CD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MAB</w:t>
            </w:r>
            <w:r w:rsidR="009E611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D7076D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P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ROLIA</w:t>
            </w:r>
            <w:r w:rsidR="00D7076D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and X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GEVA</w:t>
            </w:r>
            <w:r w:rsidR="009E611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),</w:t>
            </w:r>
            <w:r w:rsidR="00D7076D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9416E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DENOSUMAB</w:t>
            </w:r>
            <w:r w:rsidR="00167DE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-</w:t>
            </w:r>
            <w:r w:rsidR="009416E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BMWO</w:t>
            </w:r>
            <w:r w:rsidR="00167DE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(S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TOBO</w:t>
            </w:r>
            <w:r w:rsidR="00F3343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CL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O</w:t>
            </w:r>
            <w:r w:rsidR="00167DE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/O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SENVELT</w:t>
            </w:r>
            <w:r w:rsidR="00167DE4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</w:t>
            </w:r>
            <w:r w:rsidR="00E52D6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, </w:t>
            </w:r>
            <w:r w:rsidR="009416E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DENOSUMAB</w:t>
            </w:r>
            <w:r w:rsidR="00E52D6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-</w:t>
            </w:r>
            <w:r w:rsidR="009416E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BN</w:t>
            </w:r>
            <w:r w:rsidR="0025067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HT</w:t>
            </w:r>
            <w:r w:rsidR="00E52D6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(B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OMYNTRA</w:t>
            </w:r>
            <w:r w:rsidR="00E52D6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/C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ONEXXENCE</w:t>
            </w:r>
            <w:r w:rsidR="0034745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</w:t>
            </w:r>
            <w:r w:rsidR="00894BD5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0B408AF7" w14:textId="4F1DD9A2" w:rsidR="006732C9" w:rsidRPr="00866896" w:rsidRDefault="006732C9" w:rsidP="006732C9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08DA5B0C" w14:textId="337E80FD" w:rsidR="006732C9" w:rsidRPr="00866896" w:rsidRDefault="006C2FB2" w:rsidP="00733560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</w:t>
            </w:r>
            <w:r w:rsidR="00B9570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new 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biosimilars </w:t>
            </w:r>
            <w:r w:rsidR="006D572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with medical contract billing rules</w:t>
            </w:r>
            <w:r w:rsidR="00B9570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throughout the monograph</w:t>
            </w:r>
            <w:r w:rsidR="00CD074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</w:p>
          <w:p w14:paraId="2B401B42" w14:textId="2AF440F5" w:rsidR="006B739F" w:rsidRPr="00866896" w:rsidRDefault="00B9570D" w:rsidP="00733560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Modified the</w:t>
            </w:r>
            <w:r w:rsidR="00CD074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clinical c</w:t>
            </w:r>
            <w:r w:rsidR="00747ED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riteria 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for PROLIA and biosimilars for required diagnoses</w:t>
            </w:r>
          </w:p>
          <w:p w14:paraId="5571AA76" w14:textId="7B5B356B" w:rsidR="00B9570D" w:rsidRPr="00866896" w:rsidRDefault="00B9570D" w:rsidP="00733560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Modified osteoporosis requirements for prostate cancer patients in clinical criteria for PROLIA and biosimilars</w:t>
            </w:r>
          </w:p>
          <w:p w14:paraId="134220F0" w14:textId="45B4AF43" w:rsidR="00B9570D" w:rsidRPr="00866896" w:rsidRDefault="00B9570D" w:rsidP="00733560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lastRenderedPageBreak/>
              <w:t>Modified bisphosphonate requirements for PROLIA and biosimilars</w:t>
            </w:r>
          </w:p>
          <w:p w14:paraId="18F9A6A8" w14:textId="7E344F34" w:rsidR="009517C8" w:rsidRPr="00866896" w:rsidRDefault="009517C8" w:rsidP="00733560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“The beneficiary must not have pre-existing hypocalcemia” </w:t>
            </w:r>
            <w:r w:rsidR="00B549D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u</w:t>
            </w:r>
            <w:r w:rsidR="008E3E5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nder XGEVA </w:t>
            </w:r>
            <w:r w:rsidR="00B9570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and biosim</w:t>
            </w:r>
            <w:r w:rsidR="009207C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ilars</w:t>
            </w:r>
          </w:p>
          <w:p w14:paraId="617A78E5" w14:textId="7FD47FF4" w:rsidR="00A1631D" w:rsidRPr="00866896" w:rsidRDefault="009D0A9E" w:rsidP="00733560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Added J-codes under billing/coding information</w:t>
            </w:r>
          </w:p>
          <w:p w14:paraId="583DB2BB" w14:textId="77777777" w:rsidR="004B1F1E" w:rsidRPr="00866896" w:rsidRDefault="004B1F1E" w:rsidP="004B1F1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2D11F138" w14:textId="77777777" w:rsidR="004B1F1E" w:rsidRPr="00866896" w:rsidRDefault="004B1F1E" w:rsidP="004B1F1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3B0FD0A9" w14:textId="5AD06864" w:rsidR="00894BD5" w:rsidRPr="00866896" w:rsidRDefault="00894BD5" w:rsidP="004B1F1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  <w:r w:rsidR="006B739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</w:t>
            </w:r>
          </w:p>
          <w:p w14:paraId="05932ED5" w14:textId="77777777" w:rsidR="004B1F1E" w:rsidRPr="00866896" w:rsidRDefault="004B1F1E" w:rsidP="004B1F1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7A7864F6" w14:textId="77777777" w:rsidR="004B1F1E" w:rsidRPr="00866896" w:rsidRDefault="004B1F1E" w:rsidP="004B1F1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77C62B6C" w14:textId="1B66F1C3" w:rsidR="004B1F1E" w:rsidRPr="00866896" w:rsidRDefault="004B1F1E" w:rsidP="004B1F1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changes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as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</w:t>
            </w:r>
            <w:r w:rsidR="006B739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Crawley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</w:t>
            </w:r>
            <w:r w:rsidR="006B739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Golden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passed.</w:t>
            </w:r>
          </w:p>
          <w:p w14:paraId="5A73F1D9" w14:textId="77777777" w:rsidR="004B1F1E" w:rsidRPr="00866896" w:rsidRDefault="004B1F1E" w:rsidP="004B1F1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61CAE735" w14:textId="4A7DC73B" w:rsidR="00BC2C92" w:rsidRPr="00866896" w:rsidRDefault="00247662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</w:t>
            </w:r>
            <w:r w:rsidR="00890C51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N</w:t>
            </w:r>
            <w:r w:rsidR="00040A4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TYVIO</w:t>
            </w:r>
            <w:r w:rsidR="00DD588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B549D3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VEDOLIZ</w:t>
            </w:r>
            <w:r w:rsidR="00110CB3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UMAB)</w:t>
            </w:r>
            <w:r w:rsidR="00DD5888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injection</w:t>
            </w:r>
          </w:p>
          <w:p w14:paraId="2B4F5BD6" w14:textId="77777777" w:rsidR="006C4689" w:rsidRPr="00866896" w:rsidRDefault="006C4689" w:rsidP="006C4689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3A3E18BB" w14:textId="69115DC2" w:rsidR="00B84B7F" w:rsidRPr="00866896" w:rsidRDefault="00117185" w:rsidP="00733560">
            <w:pPr>
              <w:pStyle w:val="ListParagraph"/>
              <w:numPr>
                <w:ilvl w:val="0"/>
                <w:numId w:val="18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Modified the indications to match the package insert</w:t>
            </w:r>
          </w:p>
          <w:p w14:paraId="6689CBE1" w14:textId="2DC366E8" w:rsidR="00117185" w:rsidRPr="00866896" w:rsidRDefault="009207C8" w:rsidP="00733560">
            <w:pPr>
              <w:pStyle w:val="ListParagraph"/>
              <w:numPr>
                <w:ilvl w:val="0"/>
                <w:numId w:val="18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Added the requirement for TB infection screening to clinical criteria</w:t>
            </w:r>
          </w:p>
          <w:p w14:paraId="681C22BC" w14:textId="0C7BCCBC" w:rsidR="00EB2D6A" w:rsidRPr="00866896" w:rsidRDefault="00AD0960" w:rsidP="00733560">
            <w:pPr>
              <w:pStyle w:val="ListParagraph"/>
              <w:numPr>
                <w:ilvl w:val="0"/>
                <w:numId w:val="18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</w:t>
            </w:r>
            <w:r w:rsidR="00E52F8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“The beneficiary is 6 years of age or older.” To off label uses</w:t>
            </w:r>
          </w:p>
          <w:p w14:paraId="07178E15" w14:textId="77777777" w:rsidR="00DD5888" w:rsidRPr="00866896" w:rsidRDefault="00DD5888" w:rsidP="00DD5888">
            <w:p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  <w:p w14:paraId="1AEF237B" w14:textId="08F1AB1C" w:rsidR="00B84B7F" w:rsidRPr="00866896" w:rsidRDefault="00B84B7F" w:rsidP="00B84B7F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6330F5EE" w14:textId="1C615612" w:rsidR="00B84B7F" w:rsidRPr="00866896" w:rsidRDefault="000C273D" w:rsidP="00B84B7F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</w:p>
          <w:p w14:paraId="685799E7" w14:textId="77777777" w:rsidR="00B84B7F" w:rsidRPr="00866896" w:rsidRDefault="00B84B7F" w:rsidP="00B84B7F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03B82915" w14:textId="77777777" w:rsidR="00B84B7F" w:rsidRPr="00866896" w:rsidRDefault="00B84B7F" w:rsidP="00B84B7F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4B0CCF43" w14:textId="12D895CB" w:rsidR="00B84B7F" w:rsidRPr="00866896" w:rsidRDefault="00B84B7F" w:rsidP="00B84B7F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Golden; second by Dr. </w:t>
            </w:r>
            <w:r w:rsidR="000C273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Crawley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passed.</w:t>
            </w:r>
          </w:p>
          <w:p w14:paraId="2C73CB03" w14:textId="77777777" w:rsidR="007C560B" w:rsidRPr="00866896" w:rsidRDefault="007C560B" w:rsidP="00B84B7F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6D9D5BDD" w14:textId="691C3F11" w:rsidR="00F70A58" w:rsidRPr="00866896" w:rsidRDefault="00E307EC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L</w:t>
            </w:r>
            <w:r w:rsidR="00040A4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EQVIO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964870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INCLISIRAN</w:t>
            </w:r>
            <w:r w:rsidR="007C560B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 injection</w:t>
            </w:r>
          </w:p>
          <w:p w14:paraId="41B1B426" w14:textId="6131A023" w:rsidR="007C560B" w:rsidRPr="00866896" w:rsidRDefault="007C560B" w:rsidP="007C560B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77328506" w14:textId="6B8737F3" w:rsidR="007C560B" w:rsidRPr="00866896" w:rsidRDefault="00AF300C" w:rsidP="00733560">
            <w:pPr>
              <w:pStyle w:val="ListParagraph"/>
              <w:numPr>
                <w:ilvl w:val="0"/>
                <w:numId w:val="1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Modified indications to </w:t>
            </w:r>
            <w:r w:rsidR="004D4E8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include Pediatrics</w:t>
            </w:r>
            <w:r w:rsidR="009207C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and match the package insert</w:t>
            </w:r>
            <w:r w:rsidR="004D4E8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</w:p>
          <w:p w14:paraId="68AB6EB2" w14:textId="0B07B39B" w:rsidR="00EB2D6A" w:rsidRPr="00866896" w:rsidRDefault="008B763E" w:rsidP="00733560">
            <w:pPr>
              <w:pStyle w:val="ListParagraph"/>
              <w:numPr>
                <w:ilvl w:val="0"/>
                <w:numId w:val="1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Modified </w:t>
            </w:r>
            <w:r w:rsidR="005A519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clinical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criteria </w:t>
            </w:r>
            <w:r w:rsidR="005A519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to match closely with the pharmacy criteria </w:t>
            </w:r>
            <w:r w:rsidR="009207C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including adding homozygous familial hypercholesterolemia</w:t>
            </w:r>
          </w:p>
          <w:p w14:paraId="2D6D82F1" w14:textId="2C692D86" w:rsidR="009207C8" w:rsidRPr="00866896" w:rsidRDefault="009207C8" w:rsidP="00733560">
            <w:pPr>
              <w:pStyle w:val="ListParagraph"/>
              <w:numPr>
                <w:ilvl w:val="0"/>
                <w:numId w:val="1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Added “fellowship trained” specialist</w:t>
            </w:r>
          </w:p>
          <w:p w14:paraId="692DEC74" w14:textId="3FFE87CC" w:rsidR="009D7D44" w:rsidRPr="00866896" w:rsidRDefault="009207C8" w:rsidP="00733560">
            <w:pPr>
              <w:pStyle w:val="ListParagraph"/>
              <w:numPr>
                <w:ilvl w:val="0"/>
                <w:numId w:val="19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Decreased</w:t>
            </w:r>
            <w:r w:rsidR="0073379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approval duration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to 3 months</w:t>
            </w:r>
          </w:p>
          <w:p w14:paraId="2A0DD50D" w14:textId="77777777" w:rsidR="009324AE" w:rsidRPr="00866896" w:rsidRDefault="009324AE" w:rsidP="009324A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22DB51CC" w14:textId="77777777" w:rsidR="009324AE" w:rsidRPr="00866896" w:rsidRDefault="009324AE" w:rsidP="009324A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52DDCF48" w14:textId="77777777" w:rsidR="009324AE" w:rsidRPr="00866896" w:rsidRDefault="009324AE" w:rsidP="009324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</w:p>
          <w:p w14:paraId="2265E4A2" w14:textId="77777777" w:rsidR="009324AE" w:rsidRPr="00866896" w:rsidRDefault="009324AE" w:rsidP="009324AE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A00EEC6" w14:textId="77777777" w:rsidR="009324AE" w:rsidRPr="00866896" w:rsidRDefault="009324AE" w:rsidP="009324AE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50D4E630" w14:textId="21E41DEA" w:rsidR="009324AE" w:rsidRPr="00866896" w:rsidRDefault="009324AE" w:rsidP="009324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changes 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as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</w:t>
            </w:r>
            <w:r w:rsidR="00B91A1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Max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</w:t>
            </w:r>
            <w:r w:rsidR="00B91A1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Dougla</w:t>
            </w:r>
            <w:r w:rsidR="002343C3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="00B91A1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passed.</w:t>
            </w:r>
          </w:p>
          <w:p w14:paraId="2ADEC313" w14:textId="77777777" w:rsidR="005248DB" w:rsidRPr="00866896" w:rsidRDefault="005248DB" w:rsidP="009324AE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5F88F6CE" w14:textId="43B4002F" w:rsidR="005248DB" w:rsidRPr="00866896" w:rsidRDefault="005248DB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T</w:t>
            </w:r>
            <w:r w:rsidR="00040A4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ECVAYLI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E1181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TECLISTAMAB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-</w:t>
            </w:r>
            <w:r w:rsidR="00E1181C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C</w:t>
            </w:r>
            <w:r w:rsidR="00F03C8E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QYV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 injection</w:t>
            </w:r>
          </w:p>
          <w:p w14:paraId="29963259" w14:textId="77777777" w:rsidR="00323BCB" w:rsidRPr="00866896" w:rsidRDefault="00323BCB" w:rsidP="00323BCB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27FDD04B" w14:textId="43897622" w:rsidR="00323BCB" w:rsidRPr="00866896" w:rsidRDefault="00062B0B" w:rsidP="00733560">
            <w:pPr>
              <w:pStyle w:val="ListParagraph"/>
              <w:numPr>
                <w:ilvl w:val="0"/>
                <w:numId w:val="20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Modified indications </w:t>
            </w:r>
            <w:r w:rsidR="00BA575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to add a combination with </w:t>
            </w:r>
            <w:r w:rsidR="00DD1C5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daratumumab</w:t>
            </w:r>
            <w:r w:rsidR="00BA575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and hyaluronidase-fihj</w:t>
            </w:r>
            <w:r w:rsidR="00E00B9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and </w:t>
            </w:r>
            <w:r w:rsidR="00D83B1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included that in clinical criteria</w:t>
            </w:r>
          </w:p>
          <w:p w14:paraId="678C5459" w14:textId="6000D2E3" w:rsidR="00EB2D6A" w:rsidRPr="00866896" w:rsidRDefault="00BF4AD7" w:rsidP="00733560">
            <w:pPr>
              <w:pStyle w:val="ListParagraph"/>
              <w:numPr>
                <w:ilvl w:val="0"/>
                <w:numId w:val="20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Added “fellowship trained” under clinical criteria </w:t>
            </w:r>
          </w:p>
          <w:p w14:paraId="1AB09F47" w14:textId="5528F2E6" w:rsidR="00BF4AD7" w:rsidRPr="00866896" w:rsidRDefault="00D83B1D" w:rsidP="00733560">
            <w:pPr>
              <w:pStyle w:val="ListParagraph"/>
              <w:numPr>
                <w:ilvl w:val="0"/>
                <w:numId w:val="20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Removed </w:t>
            </w:r>
            <w:r w:rsidR="00883D8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initial hospital administration of three doses under approval duration</w:t>
            </w:r>
          </w:p>
          <w:p w14:paraId="2B35D46B" w14:textId="7F9B19D4" w:rsidR="00883D85" w:rsidRPr="00866896" w:rsidRDefault="00883D85" w:rsidP="00733560">
            <w:pPr>
              <w:pStyle w:val="ListParagraph"/>
              <w:numPr>
                <w:ilvl w:val="0"/>
                <w:numId w:val="20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Modified </w:t>
            </w:r>
            <w:r w:rsidR="00737C4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step-up</w:t>
            </w:r>
            <w:r w:rsidR="00FD212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dosing schedule</w:t>
            </w:r>
            <w:r w:rsidR="00737C4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in combination with daratumumab and hyaluronidase-fihj</w:t>
            </w:r>
            <w:r w:rsidR="00FD212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under dosage and administration</w:t>
            </w:r>
          </w:p>
          <w:p w14:paraId="6F66625C" w14:textId="77777777" w:rsidR="00323BCB" w:rsidRPr="00866896" w:rsidRDefault="00323BCB" w:rsidP="00323BCB">
            <w:pPr>
              <w:pStyle w:val="ListParagraph"/>
              <w:spacing w:line="216" w:lineRule="auto"/>
              <w:ind w:left="108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0B852004" w14:textId="77777777" w:rsidR="00323BCB" w:rsidRPr="00866896" w:rsidRDefault="00323BCB" w:rsidP="00323BCB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0D29ED4F" w14:textId="77777777" w:rsidR="00323BCB" w:rsidRPr="00866896" w:rsidRDefault="00323BCB" w:rsidP="00323BCB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</w:p>
          <w:p w14:paraId="1C81977D" w14:textId="77777777" w:rsidR="00323BCB" w:rsidRPr="00866896" w:rsidRDefault="00323BCB" w:rsidP="00323BCB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29D5B32" w14:textId="77777777" w:rsidR="00323BCB" w:rsidRPr="00866896" w:rsidRDefault="00323BCB" w:rsidP="00323BCB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59C05D43" w14:textId="7F6988E9" w:rsidR="00323BCB" w:rsidRPr="00866896" w:rsidRDefault="00323BCB" w:rsidP="00323BCB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changes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as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Crawley; second by Dr. Golden. All voting members present voted for approval. Motion passed.</w:t>
            </w:r>
          </w:p>
          <w:p w14:paraId="41CFC3AA" w14:textId="77777777" w:rsidR="00EB2D6A" w:rsidRDefault="00EB2D6A" w:rsidP="00323BCB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033644ED" w14:textId="77777777" w:rsidR="00866896" w:rsidRDefault="00866896" w:rsidP="00323BCB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7507DEEE" w14:textId="77777777" w:rsidR="00866896" w:rsidRPr="00866896" w:rsidRDefault="00866896" w:rsidP="00323BCB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6EB5EDA" w14:textId="6B9A71FE" w:rsidR="00997295" w:rsidRPr="00866896" w:rsidRDefault="00997295" w:rsidP="009207C8">
            <w:pPr>
              <w:pStyle w:val="ListParagraph"/>
              <w:numPr>
                <w:ilvl w:val="0"/>
                <w:numId w:val="15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V</w:t>
            </w:r>
            <w:r w:rsidR="00040A4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</w:t>
            </w:r>
            <w:r w:rsidR="0032712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BYSMO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</w:t>
            </w:r>
            <w:r w:rsidR="005C4C6E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FARICIMAB</w:t>
            </w:r>
            <w:r w:rsidR="009A715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-</w:t>
            </w:r>
            <w:r w:rsidR="005C4C6E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SVOA</w:t>
            </w:r>
            <w:r w:rsidR="009A7159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 injection</w:t>
            </w:r>
          </w:p>
          <w:p w14:paraId="037AED14" w14:textId="77777777" w:rsidR="009A7159" w:rsidRPr="00866896" w:rsidRDefault="009A7159" w:rsidP="009A7159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recommended the following changes to the current monograph:</w:t>
            </w:r>
          </w:p>
          <w:p w14:paraId="4DD53653" w14:textId="01E77481" w:rsidR="009A7159" w:rsidRPr="00866896" w:rsidRDefault="002E2E41" w:rsidP="00733560">
            <w:pPr>
              <w:pStyle w:val="ListParagraph"/>
              <w:numPr>
                <w:ilvl w:val="0"/>
                <w:numId w:val="21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Removed </w:t>
            </w:r>
            <w:r w:rsidR="008A292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recommended </w:t>
            </w:r>
            <w:r w:rsidR="007C616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6-month</w:t>
            </w:r>
            <w:r w:rsidR="00CF5E0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duration limit under dosage and administration</w:t>
            </w:r>
          </w:p>
          <w:p w14:paraId="7576303D" w14:textId="5DE40E1B" w:rsidR="00EB2D6A" w:rsidRPr="00866896" w:rsidRDefault="007C616F" w:rsidP="00733560">
            <w:pPr>
              <w:pStyle w:val="ListParagraph"/>
              <w:numPr>
                <w:ilvl w:val="0"/>
                <w:numId w:val="21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Updated J-code to reflect J2777</w:t>
            </w:r>
            <w:r w:rsidR="00CF1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under billing/coding information </w:t>
            </w:r>
          </w:p>
          <w:p w14:paraId="2E8E0263" w14:textId="77777777" w:rsidR="009A7159" w:rsidRPr="00866896" w:rsidRDefault="009A7159" w:rsidP="009A7159">
            <w:pPr>
              <w:pStyle w:val="ListParagraph"/>
              <w:spacing w:line="216" w:lineRule="auto"/>
              <w:ind w:left="108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  <w:p w14:paraId="5984C185" w14:textId="77777777" w:rsidR="009A7159" w:rsidRPr="00866896" w:rsidRDefault="009A7159" w:rsidP="009A7159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550102E7" w14:textId="77777777" w:rsidR="009A7159" w:rsidRPr="00866896" w:rsidRDefault="009A7159" w:rsidP="009A7159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None</w:t>
            </w:r>
          </w:p>
          <w:p w14:paraId="22D92DDD" w14:textId="77777777" w:rsidR="009A7159" w:rsidRPr="00866896" w:rsidRDefault="009A7159" w:rsidP="009A7159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00C137E1" w14:textId="77777777" w:rsidR="009A7159" w:rsidRPr="00866896" w:rsidRDefault="009A7159" w:rsidP="009A7159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5EF3EA64" w14:textId="27420C75" w:rsidR="007C560B" w:rsidRPr="00866896" w:rsidRDefault="009A7159" w:rsidP="007F1E10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changes</w:t>
            </w:r>
            <w:r w:rsid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as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</w:t>
            </w:r>
            <w:r w:rsidR="00A811B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Golden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</w:t>
            </w:r>
            <w:r w:rsidR="00A811B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Crawley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passed.</w:t>
            </w:r>
          </w:p>
          <w:p w14:paraId="22D8B1CF" w14:textId="390A42D7" w:rsidR="00B84B7F" w:rsidRPr="00866896" w:rsidRDefault="00B84B7F" w:rsidP="00B84B7F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</w:tc>
      </w:tr>
      <w:tr w:rsidR="00C008D9" w:rsidRPr="00866896" w14:paraId="620FA9A4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52C4E102" w14:textId="63BB43D9" w:rsidR="00C008D9" w:rsidRPr="00866896" w:rsidRDefault="00C008D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lastRenderedPageBreak/>
              <w:t>New Monographs</w:t>
            </w:r>
          </w:p>
        </w:tc>
        <w:tc>
          <w:tcPr>
            <w:tcW w:w="160" w:type="pct"/>
          </w:tcPr>
          <w:p w14:paraId="65F8E031" w14:textId="77777777" w:rsidR="00C008D9" w:rsidRPr="00866896" w:rsidRDefault="00C008D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0969B8FF" w14:textId="12307A44" w:rsidR="00C008D9" w:rsidRPr="00866896" w:rsidRDefault="00F5799F" w:rsidP="00975332">
            <w:pPr>
              <w:pStyle w:val="ListParagraph"/>
              <w:numPr>
                <w:ilvl w:val="0"/>
                <w:numId w:val="11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E</w:t>
            </w:r>
            <w:r w:rsidR="0032712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XDENSUR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</w:t>
            </w:r>
            <w:r w:rsidR="005A7E90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(depemokimab-ulaa)</w:t>
            </w:r>
            <w:r w:rsidR="00733560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100 mg/mL pen and syringe</w:t>
            </w:r>
          </w:p>
          <w:p w14:paraId="2A2FA295" w14:textId="58DA1E93" w:rsidR="00733560" w:rsidRPr="00866896" w:rsidRDefault="00733560" w:rsidP="00733560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provided the following drug information and recommended monograph language for review.</w:t>
            </w:r>
          </w:p>
          <w:p w14:paraId="3D44F3DA" w14:textId="5495E085" w:rsidR="007F270D" w:rsidRPr="00866896" w:rsidRDefault="00521B3E" w:rsidP="00521B3E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Indication—</w:t>
            </w:r>
            <w:r w:rsidR="007F270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add on maintenance treatment of sever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e</w:t>
            </w:r>
            <w:r w:rsidR="007F270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asthma characterized by an eosinophilic phenotype in adult and pediatric age 12 years and older. </w:t>
            </w:r>
            <w:r w:rsidR="004D56F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Not indicated for the relief </w:t>
            </w:r>
            <w:r w:rsidR="007951F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of acute bronchospasm or status asthmaticus </w:t>
            </w:r>
          </w:p>
          <w:p w14:paraId="2DCD311C" w14:textId="28D38E5B" w:rsidR="007951F3" w:rsidRPr="00866896" w:rsidRDefault="00521B3E" w:rsidP="00521B3E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Dosing—</w:t>
            </w:r>
            <w:r w:rsidR="007951F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Recommended dosage is 100mg once every 6 months </w:t>
            </w:r>
            <w:r w:rsidR="006B7F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administered by SC injection into the upper arm, thigh, or abdomen avoiding 5cm around the naval. </w:t>
            </w:r>
          </w:p>
          <w:p w14:paraId="7FFF17FC" w14:textId="231A0B2C" w:rsidR="006B1F8B" w:rsidRPr="00866896" w:rsidRDefault="00521B3E" w:rsidP="00521B3E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Mechanism of Action—</w:t>
            </w:r>
            <w:r w:rsidR="00D87E8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Dep</w:t>
            </w:r>
            <w:r w:rsidR="00674E1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e</w:t>
            </w:r>
            <w:r w:rsidR="00D87E8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mokimab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-</w:t>
            </w:r>
            <w:r w:rsidR="00D87E8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ulaa is an IL 5 antagonist </w:t>
            </w:r>
            <w:r w:rsidR="00BF34A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by inhibiting IL-5 </w:t>
            </w:r>
            <w:r w:rsidR="00674E1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signaling</w:t>
            </w:r>
            <w:r w:rsidR="00BF34A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, </w:t>
            </w:r>
            <w:r w:rsidR="00022C9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reducing</w:t>
            </w:r>
            <w:r w:rsidR="00BF34A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the production and survival of eosinophils</w:t>
            </w:r>
            <w:r w:rsidR="00301F6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The mechanism of action in asthma has not been definit</w:t>
            </w:r>
            <w:r w:rsidR="00284CB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ively established.</w:t>
            </w:r>
          </w:p>
          <w:p w14:paraId="6D46E1E1" w14:textId="77777777" w:rsidR="00721FDA" w:rsidRDefault="00521B3E" w:rsidP="00721FDA">
            <w:pPr>
              <w:pStyle w:val="ListParagraph"/>
              <w:numPr>
                <w:ilvl w:val="0"/>
                <w:numId w:val="12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Clinical trial information—</w:t>
            </w:r>
            <w:r w:rsidR="00284CB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Primary efficacy endpoint was the annualized rate of clinically significant ex</w:t>
            </w:r>
            <w:r w:rsidR="00E82DB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acerbations in the 52-</w:t>
            </w:r>
            <w:r w:rsidR="003B53F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w</w:t>
            </w:r>
            <w:r w:rsidR="00E82DB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eek treatment period. </w:t>
            </w:r>
            <w:r w:rsidR="00EB194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The annualized asthma exacerbation rate was significantly lower in the treatment </w:t>
            </w:r>
            <w:r w:rsidR="00674E1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groups</w:t>
            </w:r>
            <w:r w:rsidR="00EB194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than placebo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</w:t>
            </w:r>
          </w:p>
          <w:p w14:paraId="07F115B2" w14:textId="691FBDEB" w:rsidR="00587E3C" w:rsidRPr="00DF165D" w:rsidRDefault="00BE74EF" w:rsidP="00DF165D">
            <w:pPr>
              <w:spacing w:line="216" w:lineRule="auto"/>
              <w:ind w:left="720"/>
              <w:rPr>
                <w:rFonts w:ascii="Source Sans Pro" w:hAnsi="Source Sans Pro" w:cs="Calibri"/>
                <w:iCs/>
                <w:sz w:val="24"/>
                <w:szCs w:val="24"/>
              </w:rPr>
            </w:pPr>
            <w:r>
              <w:object w:dxaOrig="1540" w:dyaOrig="997" w14:anchorId="6EDC7C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8" o:title=""/>
                </v:shape>
                <o:OLEObject Type="Embed" ProgID="Acrobat.Document.DC" ShapeID="_x0000_i1025" DrawAspect="Icon" ObjectID="_1845014502" r:id="rId9"/>
              </w:object>
            </w:r>
          </w:p>
          <w:p w14:paraId="4A96AEE6" w14:textId="77777777" w:rsidR="008A1767" w:rsidRPr="00866896" w:rsidRDefault="008A1767" w:rsidP="008A1767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  <w:p w14:paraId="37EAD213" w14:textId="77777777" w:rsidR="00F46367" w:rsidRPr="00866896" w:rsidRDefault="00F46367" w:rsidP="00F46367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4689E8A9" w14:textId="47445155" w:rsidR="00F46367" w:rsidRPr="00866896" w:rsidRDefault="00A667A8" w:rsidP="00F46367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Dr. Pearson commented that </w:t>
            </w:r>
            <w:r w:rsidR="0063395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this will only be a medical benefit since </w:t>
            </w:r>
            <w:r w:rsidR="00C24C7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it will be administered by a health care provider at this time and will not be pharmacy. </w:t>
            </w:r>
          </w:p>
          <w:p w14:paraId="33AF795B" w14:textId="77777777" w:rsidR="00F46367" w:rsidRPr="00866896" w:rsidRDefault="00F46367" w:rsidP="00F46367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6DCF695A" w14:textId="77777777" w:rsidR="00F46367" w:rsidRPr="00866896" w:rsidRDefault="00F46367" w:rsidP="00F46367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10E5FE79" w14:textId="0FB7EBD9" w:rsidR="00F46367" w:rsidRPr="00866896" w:rsidRDefault="00F46367" w:rsidP="00F46367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Motion to approve the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new monograph as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</w:t>
            </w:r>
            <w:r w:rsidR="00886CA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Golden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; second by Dr. </w:t>
            </w:r>
            <w:r w:rsidR="00886CA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Crawley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</w:t>
            </w:r>
          </w:p>
          <w:p w14:paraId="1FA1199D" w14:textId="77777777" w:rsidR="00886CAE" w:rsidRPr="00866896" w:rsidRDefault="00886CAE" w:rsidP="00F46367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  <w:p w14:paraId="3D80A766" w14:textId="7451D576" w:rsidR="00886CAE" w:rsidRPr="00866896" w:rsidRDefault="00F16756" w:rsidP="00975332">
            <w:pPr>
              <w:pStyle w:val="ListParagraph"/>
              <w:numPr>
                <w:ilvl w:val="0"/>
                <w:numId w:val="11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X</w:t>
            </w:r>
            <w:r w:rsidR="0032712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IPERE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(triamcinolone acetonide</w:t>
            </w:r>
            <w:r w:rsidR="00733560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)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40mg/m</w:t>
            </w:r>
            <w:r w:rsidR="00733560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L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suspension for injection</w:t>
            </w:r>
          </w:p>
          <w:p w14:paraId="0FD71962" w14:textId="5C1BB268" w:rsidR="00521B3E" w:rsidRPr="00866896" w:rsidRDefault="00521B3E" w:rsidP="00521B3E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provided the following drug information and recommended monograph language for review.</w:t>
            </w:r>
          </w:p>
          <w:p w14:paraId="4DE42AC7" w14:textId="0BED22CE" w:rsidR="008A5E04" w:rsidRPr="00866896" w:rsidRDefault="00521B3E" w:rsidP="00521B3E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lastRenderedPageBreak/>
              <w:t>Indication—</w:t>
            </w:r>
            <w:r w:rsidR="007A63A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treatment of macular edema associated with </w:t>
            </w:r>
            <w:r w:rsidR="001F1CD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uveitis. </w:t>
            </w:r>
          </w:p>
          <w:p w14:paraId="0004BB69" w14:textId="212EC89F" w:rsidR="00371924" w:rsidRPr="00866896" w:rsidRDefault="00521B3E" w:rsidP="00521B3E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Dosing—</w:t>
            </w:r>
            <w:r w:rsidR="0037192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Recommended do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se</w:t>
            </w:r>
            <w:r w:rsidR="0037192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is 4mg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(</w:t>
            </w:r>
            <w:r w:rsidR="0037192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0.1mL of the 40mg/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</w:t>
            </w:r>
            <w:r w:rsidR="0037192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L</w:t>
            </w:r>
            <w:r w:rsidR="0065021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injectable suspension</w:t>
            </w:r>
            <w:r w:rsidR="0073356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)</w:t>
            </w:r>
          </w:p>
          <w:p w14:paraId="0AEAACF2" w14:textId="5CC680AA" w:rsidR="00650216" w:rsidRPr="00866896" w:rsidRDefault="00521B3E" w:rsidP="00521B3E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Required monitoring—</w:t>
            </w:r>
            <w:r w:rsidR="0065021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Patients should be monitored for elevation of intraoc</w:t>
            </w:r>
            <w:r w:rsidR="002E5CE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ular pressure by checking for perfusion of the optic nerve head or tonometry</w:t>
            </w:r>
          </w:p>
          <w:p w14:paraId="7B7965B6" w14:textId="3F517C1D" w:rsidR="002E5CE9" w:rsidRPr="00866896" w:rsidRDefault="00733560" w:rsidP="00521B3E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Contraindications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—</w:t>
            </w:r>
            <w:r w:rsidR="00075E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active or suspected ocular or periocular infections including most viral diseases of the cornea and conju</w:t>
            </w:r>
            <w:r w:rsidR="000B2EDF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nctiva, including active epithelial herpes simplex keratitis, vaccinia, varicella, mycobacterial infections, and fungal diseases</w:t>
            </w:r>
          </w:p>
          <w:p w14:paraId="77355921" w14:textId="222C9060" w:rsidR="00046388" w:rsidRPr="00866896" w:rsidRDefault="00521B3E" w:rsidP="00521B3E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Mechanism of Action—</w:t>
            </w:r>
            <w:r w:rsidR="006652C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Triamcinolone acetonide is a synthetic </w:t>
            </w:r>
            <w:r w:rsidR="00CC4FB6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glucocorticoid with immunosuppressive and anti-inflammatory activity. </w:t>
            </w:r>
            <w:r w:rsidR="0087646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Primary mechanism of action is as a corticosteroid hormone receptor agonist. </w:t>
            </w:r>
          </w:p>
          <w:p w14:paraId="22C2C7DC" w14:textId="77777777" w:rsidR="00721FDA" w:rsidRPr="00721FDA" w:rsidRDefault="00D108DE" w:rsidP="00721FDA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Clinical trial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information—</w:t>
            </w:r>
            <w:r w:rsidR="00472F4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47% of the treatment group met the primary endpoint compared to 16% of the placebo group</w:t>
            </w:r>
            <w:r w:rsidR="003B53F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</w:t>
            </w:r>
          </w:p>
          <w:p w14:paraId="7B6C86E3" w14:textId="409F4846" w:rsidR="008A1767" w:rsidRPr="00DF165D" w:rsidRDefault="007E0A74" w:rsidP="00DF165D">
            <w:pPr>
              <w:spacing w:line="216" w:lineRule="auto"/>
              <w:ind w:left="72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>
              <w:object w:dxaOrig="1440" w:dyaOrig="932" w14:anchorId="04076B59">
                <v:shape id="_x0000_i1026" type="#_x0000_t75" style="width:1in;height:46.5pt" o:ole="">
                  <v:imagedata r:id="rId10" o:title=""/>
                </v:shape>
                <o:OLEObject Type="Embed" ProgID="Acrobat.Document.DC" ShapeID="_x0000_i1026" DrawAspect="Icon" ObjectID="_1845014503" r:id="rId11"/>
              </w:object>
            </w:r>
          </w:p>
          <w:p w14:paraId="169CFDE7" w14:textId="77777777" w:rsidR="008A1767" w:rsidRPr="00866896" w:rsidRDefault="008A1767" w:rsidP="008A1767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1FC55765" w14:textId="3D360FAF" w:rsidR="008A1767" w:rsidRPr="00866896" w:rsidRDefault="008A1767" w:rsidP="008A1767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None. </w:t>
            </w:r>
          </w:p>
          <w:p w14:paraId="70B67450" w14:textId="77777777" w:rsidR="008A1767" w:rsidRPr="00866896" w:rsidRDefault="008A1767" w:rsidP="008A1767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22990ADD" w14:textId="77777777" w:rsidR="008A1767" w:rsidRPr="00866896" w:rsidRDefault="008A1767" w:rsidP="008A1767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6442860B" w14:textId="6A7DED2F" w:rsidR="008A1767" w:rsidRPr="00866896" w:rsidRDefault="008A1767" w:rsidP="008A1767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new monograph as</w:t>
            </w:r>
            <w:r w:rsidR="00EB2D6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was made by Dr. Crawley; second by Dr. Max. All voting members present voted for approval. Motion passed</w:t>
            </w:r>
          </w:p>
          <w:p w14:paraId="7EC8E8C4" w14:textId="77777777" w:rsidR="008A1767" w:rsidRPr="00866896" w:rsidRDefault="008A1767" w:rsidP="008A1767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375F7809" w14:textId="01AA02D5" w:rsidR="008A1767" w:rsidRDefault="00EB2D6A" w:rsidP="00975332">
            <w:pPr>
              <w:pStyle w:val="ListParagraph"/>
              <w:numPr>
                <w:ilvl w:val="0"/>
                <w:numId w:val="11"/>
              </w:num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I</w:t>
            </w:r>
            <w:r w:rsidR="00327126"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LARIS</w:t>
            </w: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 xml:space="preserve"> (canakinumab) </w:t>
            </w:r>
          </w:p>
          <w:p w14:paraId="11E0CA18" w14:textId="6F4D54D4" w:rsidR="0058049E" w:rsidRPr="0058049E" w:rsidRDefault="0058049E" w:rsidP="0058049E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Owens provided the following drug information and recommended monograph language for review.</w:t>
            </w:r>
          </w:p>
          <w:p w14:paraId="17BDE022" w14:textId="5DD519BC" w:rsidR="00453085" w:rsidRPr="00866896" w:rsidRDefault="00EA0C06" w:rsidP="00521B3E">
            <w:pPr>
              <w:pStyle w:val="ListParagraph"/>
              <w:numPr>
                <w:ilvl w:val="0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Indications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—</w:t>
            </w:r>
            <w:r w:rsidR="00C9753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Periodic Fever Syndromes, Cry</w:t>
            </w:r>
            <w:r w:rsidR="0090248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opyrin-Associated Periodic Syndromes (CAPS), Familial Cold Autoinflammatory Syndrome (FCAS), Muckle-Wells Syndrome (MWS), </w:t>
            </w:r>
            <w:r w:rsidR="000A1467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Tumor Necrosis Factor Receptor (TNF), Associated Periodic Syndrome (TRAPS), Hyperimmunoglobulin D Syndrome (HIDS)</w:t>
            </w:r>
            <w:r w:rsidR="00A85A1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, Mevalonate Kinase Deficiency (MKD), Familial Mediterranean Fever (FMF), Stills Disease and Systemic Juvenile Idiopathic Arthri</w:t>
            </w:r>
            <w:r w:rsidR="0047426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tis (SJIA), Gout Flares</w:t>
            </w:r>
          </w:p>
          <w:p w14:paraId="2C8A7581" w14:textId="3850633C" w:rsidR="00521B3E" w:rsidRPr="00866896" w:rsidRDefault="00521B3E" w:rsidP="00453085">
            <w:pPr>
              <w:pStyle w:val="ListParagraph"/>
              <w:numPr>
                <w:ilvl w:val="0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Dosing—</w:t>
            </w:r>
          </w:p>
          <w:p w14:paraId="04BF720A" w14:textId="77777777" w:rsidR="00521B3E" w:rsidRPr="00866896" w:rsidRDefault="006124C1" w:rsidP="00521B3E">
            <w:pPr>
              <w:pStyle w:val="ListParagraph"/>
              <w:numPr>
                <w:ilvl w:val="1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Recommended weight-based dose schedule with CAPS &gt; 40kg: 150mg SC every 8 weeks</w:t>
            </w:r>
            <w:r w:rsidR="00AC7253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, for CAPS ≥ </w:t>
            </w:r>
            <w:r w:rsidR="00A470F8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15kg and ≤ 40kg: 2mg/kg SC every 8 weeks</w:t>
            </w:r>
            <w:r w:rsidR="0040788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, Pediatric with CAPS 15kg to 40kg with inadequate response, the dosage can be increased to 3mg/kg SC every 8 weeks.</w:t>
            </w:r>
          </w:p>
          <w:p w14:paraId="76036505" w14:textId="77777777" w:rsidR="00521B3E" w:rsidRPr="00866896" w:rsidRDefault="00F82615" w:rsidP="00521B3E">
            <w:pPr>
              <w:pStyle w:val="ListParagraph"/>
              <w:numPr>
                <w:ilvl w:val="1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Recommended weight-based dose schedule for TRAPS,</w:t>
            </w:r>
            <w:r w:rsidR="00C2046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HIDS/MKD, and FMF</w:t>
            </w:r>
            <w:r w:rsidR="002A0E1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for patients with &gt; 40kg; 150mg SC every 4 weeks can be increased to 300mg every 4 weeks if clinical response is not adequate</w:t>
            </w:r>
            <w:r w:rsidR="0002550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for patients ≤ 40kg: 2mg/kg SC every 4 weeks</w:t>
            </w:r>
            <w:r w:rsidR="00E8793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can be increased to 4mg/kg every 4 weeks if clinical response is not adequate</w:t>
            </w:r>
          </w:p>
          <w:p w14:paraId="5B8E65C4" w14:textId="77777777" w:rsidR="00521B3E" w:rsidRPr="00866896" w:rsidRDefault="00BC4D01" w:rsidP="00521B3E">
            <w:pPr>
              <w:pStyle w:val="ListParagraph"/>
              <w:numPr>
                <w:ilvl w:val="1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Recommended weight-based dosage for AOSD</w:t>
            </w:r>
            <w:r w:rsidR="006C26F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and SJIA weighing ≥ 7.5 kg is 4mg/kg</w:t>
            </w:r>
            <w:r w:rsidR="001B2190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with a max dose of 300mg SC every 4 weeks</w:t>
            </w:r>
          </w:p>
          <w:p w14:paraId="4D92868E" w14:textId="7D4BAF3B" w:rsidR="00453085" w:rsidRPr="00866896" w:rsidRDefault="001B2190" w:rsidP="00521B3E">
            <w:pPr>
              <w:pStyle w:val="ListParagraph"/>
              <w:numPr>
                <w:ilvl w:val="1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Recommended dose for gout flare is 150mg SC</w:t>
            </w:r>
            <w:r w:rsidR="00A97BB4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and if re-treatment is required there should be intervals of at least 12 weeks before new dose</w:t>
            </w:r>
            <w:r w:rsidR="00C20465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</w:t>
            </w:r>
          </w:p>
          <w:p w14:paraId="412AAF8A" w14:textId="2B5FB12C" w:rsidR="00453085" w:rsidRPr="00866896" w:rsidRDefault="00C20465" w:rsidP="00521B3E">
            <w:pPr>
              <w:pStyle w:val="ListParagraph"/>
              <w:numPr>
                <w:ilvl w:val="0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Mechanism of 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Action—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ILARIS </w:t>
            </w:r>
            <w:r w:rsidR="000C584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is a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  <w:r w:rsidR="000C584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human monoclonal anti-human</w:t>
            </w:r>
            <w:r w:rsidR="0084119D" w:rsidRPr="00866896">
              <w:rPr>
                <w:rFonts w:ascii="Source Sans Pro" w:eastAsia="Source Sans Pro" w:hAnsi="Source Sans Pro" w:cstheme="minorBid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84119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IL-1β antibody of the IgG1/κ isotype. Canakinumab binds to human IL-1β and neutralizes its activity by blocking its interaction with IL-1 receptors, but it does not bind IL-1α or IL-1 receptor antagonist (IL-1ra).</w:t>
            </w:r>
          </w:p>
          <w:p w14:paraId="39E1AE2F" w14:textId="7B377E81" w:rsidR="002343C3" w:rsidRDefault="0084119D" w:rsidP="008A1767">
            <w:pPr>
              <w:pStyle w:val="ListParagraph"/>
              <w:numPr>
                <w:ilvl w:val="0"/>
                <w:numId w:val="14"/>
              </w:num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lastRenderedPageBreak/>
              <w:t xml:space="preserve">Clinical trial 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information—</w:t>
            </w:r>
            <w:r w:rsidR="00EF15D9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efficacy for </w:t>
            </w:r>
            <w:r w:rsidR="000C282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treatment </w:t>
            </w:r>
            <w:r w:rsidR="00C21E0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of</w:t>
            </w:r>
            <w:r w:rsidR="000C282C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CAPS 97% in complete clinical response by week 8</w:t>
            </w:r>
            <w:r w:rsidR="00357E6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, TRAPS 45.5%/8.3%, HIDS/MKD 35.1%/5.7%, and FMF 61.3%/6.3%</w:t>
            </w:r>
            <w:r w:rsidR="00C21E0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. Active SJIA at least 30% improvement in </w:t>
            </w:r>
            <w:r w:rsidR="00CD37DA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84% compared to 10%. Gout flares for pain intensity showed lower pain intensity fo</w:t>
            </w:r>
            <w:r w:rsidR="00DB356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r ILARIS than Triamcinolone 40mg 72 hours after dose. </w:t>
            </w:r>
          </w:p>
          <w:p w14:paraId="4F7D0C0A" w14:textId="5AADC19D" w:rsidR="000F1383" w:rsidRPr="000F1383" w:rsidRDefault="00814F7B" w:rsidP="00DF165D">
            <w:pPr>
              <w:spacing w:line="216" w:lineRule="auto"/>
              <w:ind w:left="720"/>
              <w:rPr>
                <w:rFonts w:ascii="Source Sans Pro" w:hAnsi="Source Sans Pro" w:cs="Calibri"/>
                <w:iCs/>
                <w:sz w:val="24"/>
                <w:szCs w:val="24"/>
              </w:rPr>
            </w:pPr>
            <w:r>
              <w:object w:dxaOrig="1540" w:dyaOrig="997" w14:anchorId="7742D9E3">
                <v:shape id="_x0000_i1027" type="#_x0000_t75" style="width:77.25pt;height:49.5pt" o:ole="">
                  <v:imagedata r:id="rId12" o:title=""/>
                </v:shape>
                <o:OLEObject Type="Embed" ProgID="Acrobat.Document.DC" ShapeID="_x0000_i1027" DrawAspect="Icon" ObjectID="_1845014504" r:id="rId13"/>
              </w:object>
            </w:r>
          </w:p>
          <w:p w14:paraId="643A7B41" w14:textId="77777777" w:rsidR="00EB2D6A" w:rsidRPr="00866896" w:rsidRDefault="00EB2D6A" w:rsidP="00EB2D6A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DISCUSSION:</w:t>
            </w:r>
          </w:p>
          <w:p w14:paraId="329755BD" w14:textId="77777777" w:rsidR="00EB2D6A" w:rsidRPr="00866896" w:rsidRDefault="00EB2D6A" w:rsidP="00EB2D6A">
            <w:pPr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None. </w:t>
            </w:r>
          </w:p>
          <w:p w14:paraId="72C1076D" w14:textId="77777777" w:rsidR="00EB2D6A" w:rsidRPr="00866896" w:rsidRDefault="00EB2D6A" w:rsidP="00EB2D6A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</w:p>
          <w:p w14:paraId="7246E3A5" w14:textId="77777777" w:rsidR="00EB2D6A" w:rsidRPr="00866896" w:rsidRDefault="00EB2D6A" w:rsidP="00EB2D6A">
            <w:pPr>
              <w:spacing w:line="216" w:lineRule="auto"/>
              <w:ind w:left="360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  <w:t>ACTION:</w:t>
            </w:r>
          </w:p>
          <w:p w14:paraId="2498254F" w14:textId="307DF319" w:rsidR="00EB2D6A" w:rsidRPr="00866896" w:rsidRDefault="00EB2D6A" w:rsidP="00EB2D6A">
            <w:pPr>
              <w:pStyle w:val="ListParagraph"/>
              <w:spacing w:line="216" w:lineRule="auto"/>
              <w:ind w:left="360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Motion to approve the 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new monograph as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presented was made by Dr. Golden; second by Dr. Dougla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s</w:t>
            </w:r>
            <w:r w:rsidR="00521B3E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/Dr. Crawley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. All voting members present voted for approval. Motion passed</w:t>
            </w:r>
          </w:p>
          <w:p w14:paraId="277590A3" w14:textId="77777777" w:rsidR="00EB2D6A" w:rsidRPr="00866896" w:rsidRDefault="00EB2D6A" w:rsidP="008A1767">
            <w:p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  <w:p w14:paraId="17BDA92C" w14:textId="3DB6D246" w:rsidR="008A1767" w:rsidRPr="00866896" w:rsidRDefault="008A1767" w:rsidP="008A1767">
            <w:pPr>
              <w:spacing w:line="216" w:lineRule="auto"/>
              <w:rPr>
                <w:rFonts w:ascii="Source Sans Pro" w:hAnsi="Source Sans Pro" w:cs="Calibri"/>
                <w:b/>
                <w:bCs/>
                <w:iCs/>
                <w:sz w:val="24"/>
                <w:szCs w:val="24"/>
              </w:rPr>
            </w:pPr>
          </w:p>
        </w:tc>
      </w:tr>
      <w:tr w:rsidR="00641709" w:rsidRPr="00866896" w14:paraId="2A0E8713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4DEEF863" w14:textId="3BBA3420" w:rsidR="00641709" w:rsidRPr="00866896" w:rsidRDefault="00641709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lastRenderedPageBreak/>
              <w:t>Board comments</w:t>
            </w:r>
          </w:p>
        </w:tc>
        <w:tc>
          <w:tcPr>
            <w:tcW w:w="160" w:type="pct"/>
          </w:tcPr>
          <w:p w14:paraId="63BBD1C4" w14:textId="77777777" w:rsidR="00641709" w:rsidRPr="00866896" w:rsidRDefault="00641709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376B4A4F" w14:textId="67960EE5" w:rsidR="00641709" w:rsidRPr="00866896" w:rsidRDefault="001A7AED" w:rsidP="004F5703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Dr. Pearson shared the future meeting dates.</w:t>
            </w:r>
            <w:r w:rsidR="004C1641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 </w:t>
            </w:r>
          </w:p>
        </w:tc>
      </w:tr>
      <w:tr w:rsidR="00BD5433" w:rsidRPr="00866896" w14:paraId="53757763" w14:textId="77777777" w:rsidTr="00866896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78" w:type="pct"/>
            <w:shd w:val="clear" w:color="auto" w:fill="D9D9D9"/>
          </w:tcPr>
          <w:p w14:paraId="5B256066" w14:textId="679C81F4" w:rsidR="00BD5433" w:rsidRPr="00866896" w:rsidRDefault="00BD5433" w:rsidP="004F5703">
            <w:pPr>
              <w:pStyle w:val="CellHead"/>
              <w:spacing w:before="0" w:after="0" w:line="216" w:lineRule="auto"/>
              <w:rPr>
                <w:rFonts w:ascii="Source Sans Pro" w:hAnsi="Source Sans Pro" w:cs="Calibri"/>
                <w:b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bCs/>
                <w:sz w:val="24"/>
                <w:szCs w:val="24"/>
              </w:rPr>
              <w:t>Adjourn</w:t>
            </w:r>
          </w:p>
        </w:tc>
        <w:tc>
          <w:tcPr>
            <w:tcW w:w="160" w:type="pct"/>
          </w:tcPr>
          <w:p w14:paraId="43F017A6" w14:textId="77777777" w:rsidR="00BD5433" w:rsidRPr="00866896" w:rsidRDefault="00BD5433" w:rsidP="004F5703">
            <w:pPr>
              <w:pStyle w:val="CellBody"/>
              <w:spacing w:before="0" w:after="0" w:line="216" w:lineRule="auto"/>
              <w:jc w:val="both"/>
              <w:rPr>
                <w:rFonts w:ascii="Source Sans Pro" w:hAnsi="Source Sans Pro" w:cs="Calibri"/>
                <w:i/>
                <w:iCs/>
                <w:sz w:val="24"/>
                <w:szCs w:val="24"/>
              </w:rPr>
            </w:pPr>
          </w:p>
        </w:tc>
        <w:tc>
          <w:tcPr>
            <w:tcW w:w="4162" w:type="pct"/>
            <w:gridSpan w:val="5"/>
            <w:tcBorders>
              <w:right w:val="nil"/>
            </w:tcBorders>
            <w:vAlign w:val="center"/>
          </w:tcPr>
          <w:p w14:paraId="6CC8190A" w14:textId="0D588C84" w:rsidR="00BD5433" w:rsidRPr="00866896" w:rsidRDefault="00BD5433" w:rsidP="004F5703">
            <w:pPr>
              <w:spacing w:line="216" w:lineRule="auto"/>
              <w:rPr>
                <w:rFonts w:ascii="Source Sans Pro" w:hAnsi="Source Sans Pro" w:cs="Calibri"/>
                <w:iCs/>
                <w:sz w:val="24"/>
                <w:szCs w:val="24"/>
              </w:rPr>
            </w:pP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Meeting was adjourned at </w:t>
            </w:r>
            <w:r w:rsidR="001A7AED" w:rsidRPr="00866896">
              <w:rPr>
                <w:rFonts w:ascii="Source Sans Pro" w:hAnsi="Source Sans Pro" w:cs="Calibri"/>
                <w:iCs/>
                <w:sz w:val="24"/>
                <w:szCs w:val="24"/>
              </w:rPr>
              <w:t>12</w:t>
            </w:r>
            <w:r w:rsidR="00197022" w:rsidRPr="00866896">
              <w:rPr>
                <w:rFonts w:ascii="Source Sans Pro" w:hAnsi="Source Sans Pro" w:cs="Calibri"/>
                <w:iCs/>
                <w:sz w:val="24"/>
                <w:szCs w:val="24"/>
              </w:rPr>
              <w:t xml:space="preserve">:54 </w:t>
            </w:r>
            <w:r w:rsidRPr="00866896">
              <w:rPr>
                <w:rFonts w:ascii="Source Sans Pro" w:hAnsi="Source Sans Pro" w:cs="Calibri"/>
                <w:iCs/>
                <w:sz w:val="24"/>
                <w:szCs w:val="24"/>
              </w:rPr>
              <w:t>pm.</w:t>
            </w:r>
          </w:p>
        </w:tc>
      </w:tr>
    </w:tbl>
    <w:p w14:paraId="7380A224" w14:textId="77777777" w:rsidR="00641709" w:rsidRPr="00866896" w:rsidRDefault="00641709" w:rsidP="001F465A">
      <w:pPr>
        <w:rPr>
          <w:rFonts w:ascii="Source Sans Pro" w:hAnsi="Source Sans Pro" w:cs="Calibri"/>
          <w:sz w:val="24"/>
          <w:szCs w:val="24"/>
        </w:rPr>
      </w:pPr>
    </w:p>
    <w:sectPr w:rsidR="00641709" w:rsidRPr="00866896" w:rsidSect="001F465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576" w:right="576" w:bottom="576" w:left="576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D0B04" w14:textId="77777777" w:rsidR="00CC4047" w:rsidRDefault="00CC4047" w:rsidP="00641709">
      <w:r>
        <w:separator/>
      </w:r>
    </w:p>
  </w:endnote>
  <w:endnote w:type="continuationSeparator" w:id="0">
    <w:p w14:paraId="0CD3B92E" w14:textId="77777777" w:rsidR="00CC4047" w:rsidRDefault="00CC4047" w:rsidP="0064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AE15" w14:textId="77777777" w:rsidR="00410FE6" w:rsidRDefault="00410F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D35F" w14:textId="77777777" w:rsidR="00410FE6" w:rsidRDefault="00410F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99CE" w14:textId="77777777" w:rsidR="00410FE6" w:rsidRDefault="00410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5C06" w14:textId="77777777" w:rsidR="00CC4047" w:rsidRDefault="00CC4047" w:rsidP="00641709">
      <w:r>
        <w:separator/>
      </w:r>
    </w:p>
  </w:footnote>
  <w:footnote w:type="continuationSeparator" w:id="0">
    <w:p w14:paraId="4B945AAE" w14:textId="77777777" w:rsidR="00CC4047" w:rsidRDefault="00CC4047" w:rsidP="00641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1453" w14:textId="77777777" w:rsidR="00410FE6" w:rsidRDefault="00410F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79E7" w14:textId="5D0538DD" w:rsidR="00641709" w:rsidRPr="00866896" w:rsidRDefault="00410FE6" w:rsidP="00641709">
    <w:pPr>
      <w:pStyle w:val="Header"/>
      <w:jc w:val="center"/>
      <w:rPr>
        <w:rFonts w:ascii="Source Sans Pro" w:hAnsi="Source Sans Pro"/>
        <w:sz w:val="24"/>
        <w:szCs w:val="24"/>
      </w:rPr>
    </w:pPr>
    <w:sdt>
      <w:sdtPr>
        <w:rPr>
          <w:rFonts w:ascii="Source Sans Pro" w:hAnsi="Source Sans Pro"/>
          <w:sz w:val="24"/>
          <w:szCs w:val="24"/>
        </w:rPr>
        <w:id w:val="1454675485"/>
        <w:docPartObj>
          <w:docPartGallery w:val="Watermarks"/>
          <w:docPartUnique/>
        </w:docPartObj>
      </w:sdtPr>
      <w:sdtContent>
        <w:r w:rsidRPr="00410FE6">
          <w:rPr>
            <w:rFonts w:ascii="Source Sans Pro" w:hAnsi="Source Sans Pro"/>
            <w:noProof/>
            <w:sz w:val="24"/>
            <w:szCs w:val="24"/>
          </w:rPr>
          <w:pict w14:anchorId="4ECF3D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41709" w:rsidRPr="00866896">
      <w:rPr>
        <w:rFonts w:ascii="Source Sans Pro" w:hAnsi="Source Sans Pro"/>
        <w:sz w:val="24"/>
        <w:szCs w:val="24"/>
      </w:rPr>
      <w:t>Arkansas Medicaid PAD Subcommittee Meeting Minutes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44D4C" w14:textId="77777777" w:rsidR="00410FE6" w:rsidRDefault="00410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2C"/>
    <w:multiLevelType w:val="hybridMultilevel"/>
    <w:tmpl w:val="99721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61E"/>
    <w:multiLevelType w:val="hybridMultilevel"/>
    <w:tmpl w:val="15CA2B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B315A"/>
    <w:multiLevelType w:val="hybridMultilevel"/>
    <w:tmpl w:val="0478F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596AD9"/>
    <w:multiLevelType w:val="hybridMultilevel"/>
    <w:tmpl w:val="81E4B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EE3470"/>
    <w:multiLevelType w:val="hybridMultilevel"/>
    <w:tmpl w:val="BC628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5C3518"/>
    <w:multiLevelType w:val="hybridMultilevel"/>
    <w:tmpl w:val="9AF07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BA0ABD"/>
    <w:multiLevelType w:val="hybridMultilevel"/>
    <w:tmpl w:val="8B40B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43E73"/>
    <w:multiLevelType w:val="hybridMultilevel"/>
    <w:tmpl w:val="C2723F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471DA0"/>
    <w:multiLevelType w:val="hybridMultilevel"/>
    <w:tmpl w:val="FAD45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847FC"/>
    <w:multiLevelType w:val="hybridMultilevel"/>
    <w:tmpl w:val="36723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42A3F"/>
    <w:multiLevelType w:val="hybridMultilevel"/>
    <w:tmpl w:val="D0C218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65F89"/>
    <w:multiLevelType w:val="hybridMultilevel"/>
    <w:tmpl w:val="C52A7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6D3D69"/>
    <w:multiLevelType w:val="hybridMultilevel"/>
    <w:tmpl w:val="8D9650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5D7E94"/>
    <w:multiLevelType w:val="hybridMultilevel"/>
    <w:tmpl w:val="B9B4C1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F4CF5"/>
    <w:multiLevelType w:val="hybridMultilevel"/>
    <w:tmpl w:val="2D24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02326"/>
    <w:multiLevelType w:val="hybridMultilevel"/>
    <w:tmpl w:val="637629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0435F6"/>
    <w:multiLevelType w:val="hybridMultilevel"/>
    <w:tmpl w:val="8B804092"/>
    <w:lvl w:ilvl="0" w:tplc="844E30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447CB8"/>
    <w:multiLevelType w:val="hybridMultilevel"/>
    <w:tmpl w:val="E2927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C29E8"/>
    <w:multiLevelType w:val="hybridMultilevel"/>
    <w:tmpl w:val="DF0C63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D03A24"/>
    <w:multiLevelType w:val="hybridMultilevel"/>
    <w:tmpl w:val="7F822D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7B037F"/>
    <w:multiLevelType w:val="hybridMultilevel"/>
    <w:tmpl w:val="BC1892E6"/>
    <w:lvl w:ilvl="0" w:tplc="1970396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AD86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A0100" w:tentative="1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4462A" w:tentative="1">
      <w:start w:val="1"/>
      <w:numFmt w:val="bullet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AC780A" w:tentative="1">
      <w:start w:val="1"/>
      <w:numFmt w:val="bullet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0A3B38" w:tentative="1">
      <w:start w:val="1"/>
      <w:numFmt w:val="bullet"/>
      <w:lvlText w:val="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A4334" w:tentative="1">
      <w:start w:val="1"/>
      <w:numFmt w:val="bullet"/>
      <w:lvlText w:val="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8EE666" w:tentative="1">
      <w:start w:val="1"/>
      <w:numFmt w:val="bullet"/>
      <w:lvlText w:val="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ECD14" w:tentative="1">
      <w:start w:val="1"/>
      <w:numFmt w:val="bullet"/>
      <w:lvlText w:val="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23522"/>
    <w:multiLevelType w:val="hybridMultilevel"/>
    <w:tmpl w:val="13260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2690359">
    <w:abstractNumId w:val="0"/>
  </w:num>
  <w:num w:numId="2" w16cid:durableId="674384022">
    <w:abstractNumId w:val="14"/>
  </w:num>
  <w:num w:numId="3" w16cid:durableId="1513033223">
    <w:abstractNumId w:val="16"/>
  </w:num>
  <w:num w:numId="4" w16cid:durableId="992174504">
    <w:abstractNumId w:val="13"/>
  </w:num>
  <w:num w:numId="5" w16cid:durableId="1513061460">
    <w:abstractNumId w:val="2"/>
  </w:num>
  <w:num w:numId="6" w16cid:durableId="1906212510">
    <w:abstractNumId w:val="11"/>
  </w:num>
  <w:num w:numId="7" w16cid:durableId="568148484">
    <w:abstractNumId w:val="15"/>
  </w:num>
  <w:num w:numId="8" w16cid:durableId="1005132186">
    <w:abstractNumId w:val="19"/>
  </w:num>
  <w:num w:numId="9" w16cid:durableId="1560675825">
    <w:abstractNumId w:val="6"/>
  </w:num>
  <w:num w:numId="10" w16cid:durableId="2100978267">
    <w:abstractNumId w:val="20"/>
  </w:num>
  <w:num w:numId="11" w16cid:durableId="196700760">
    <w:abstractNumId w:val="1"/>
  </w:num>
  <w:num w:numId="12" w16cid:durableId="135882067">
    <w:abstractNumId w:val="18"/>
  </w:num>
  <w:num w:numId="13" w16cid:durableId="1981493196">
    <w:abstractNumId w:val="17"/>
  </w:num>
  <w:num w:numId="14" w16cid:durableId="236939137">
    <w:abstractNumId w:val="4"/>
  </w:num>
  <w:num w:numId="15" w16cid:durableId="2058695364">
    <w:abstractNumId w:val="12"/>
  </w:num>
  <w:num w:numId="16" w16cid:durableId="1891069234">
    <w:abstractNumId w:val="10"/>
  </w:num>
  <w:num w:numId="17" w16cid:durableId="1129204277">
    <w:abstractNumId w:val="9"/>
  </w:num>
  <w:num w:numId="18" w16cid:durableId="1534077809">
    <w:abstractNumId w:val="3"/>
  </w:num>
  <w:num w:numId="19" w16cid:durableId="1003625366">
    <w:abstractNumId w:val="8"/>
  </w:num>
  <w:num w:numId="20" w16cid:durableId="77214902">
    <w:abstractNumId w:val="7"/>
  </w:num>
  <w:num w:numId="21" w16cid:durableId="622808854">
    <w:abstractNumId w:val="5"/>
  </w:num>
  <w:num w:numId="22" w16cid:durableId="434983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09"/>
    <w:rsid w:val="0000254E"/>
    <w:rsid w:val="00002580"/>
    <w:rsid w:val="00013BA7"/>
    <w:rsid w:val="0002065F"/>
    <w:rsid w:val="00021F9D"/>
    <w:rsid w:val="00022C93"/>
    <w:rsid w:val="00022DB0"/>
    <w:rsid w:val="00025505"/>
    <w:rsid w:val="00035344"/>
    <w:rsid w:val="00040A46"/>
    <w:rsid w:val="00046388"/>
    <w:rsid w:val="000472F7"/>
    <w:rsid w:val="00050ABC"/>
    <w:rsid w:val="000613AE"/>
    <w:rsid w:val="00062B0B"/>
    <w:rsid w:val="00064F31"/>
    <w:rsid w:val="00075E6A"/>
    <w:rsid w:val="0009484D"/>
    <w:rsid w:val="000A1467"/>
    <w:rsid w:val="000B0600"/>
    <w:rsid w:val="000B2278"/>
    <w:rsid w:val="000B2EDF"/>
    <w:rsid w:val="000B7500"/>
    <w:rsid w:val="000C273D"/>
    <w:rsid w:val="000C282C"/>
    <w:rsid w:val="000C3313"/>
    <w:rsid w:val="000C584D"/>
    <w:rsid w:val="000D18FC"/>
    <w:rsid w:val="000D444F"/>
    <w:rsid w:val="000E6D23"/>
    <w:rsid w:val="000F1383"/>
    <w:rsid w:val="00104316"/>
    <w:rsid w:val="00110CB3"/>
    <w:rsid w:val="00117185"/>
    <w:rsid w:val="0012624D"/>
    <w:rsid w:val="00132526"/>
    <w:rsid w:val="00133F58"/>
    <w:rsid w:val="00141D8E"/>
    <w:rsid w:val="001457CF"/>
    <w:rsid w:val="001679BF"/>
    <w:rsid w:val="00167DE4"/>
    <w:rsid w:val="00173602"/>
    <w:rsid w:val="00183A7C"/>
    <w:rsid w:val="00192398"/>
    <w:rsid w:val="00197022"/>
    <w:rsid w:val="001A0F93"/>
    <w:rsid w:val="001A7AED"/>
    <w:rsid w:val="001B2190"/>
    <w:rsid w:val="001D0C36"/>
    <w:rsid w:val="001F1CD6"/>
    <w:rsid w:val="001F465A"/>
    <w:rsid w:val="002343C3"/>
    <w:rsid w:val="0023587F"/>
    <w:rsid w:val="00246071"/>
    <w:rsid w:val="00247662"/>
    <w:rsid w:val="00250679"/>
    <w:rsid w:val="002511A2"/>
    <w:rsid w:val="00253492"/>
    <w:rsid w:val="00265382"/>
    <w:rsid w:val="002779FC"/>
    <w:rsid w:val="00283812"/>
    <w:rsid w:val="00284CBC"/>
    <w:rsid w:val="00287BF0"/>
    <w:rsid w:val="00287C91"/>
    <w:rsid w:val="00294795"/>
    <w:rsid w:val="002963A9"/>
    <w:rsid w:val="0029708D"/>
    <w:rsid w:val="002A08BA"/>
    <w:rsid w:val="002A0E1E"/>
    <w:rsid w:val="002A6CDA"/>
    <w:rsid w:val="002B151B"/>
    <w:rsid w:val="002B3E96"/>
    <w:rsid w:val="002E2E41"/>
    <w:rsid w:val="002E4AA0"/>
    <w:rsid w:val="002E5CE9"/>
    <w:rsid w:val="002E75CB"/>
    <w:rsid w:val="002F237C"/>
    <w:rsid w:val="0030021F"/>
    <w:rsid w:val="00301F68"/>
    <w:rsid w:val="00313861"/>
    <w:rsid w:val="00314F46"/>
    <w:rsid w:val="00322D83"/>
    <w:rsid w:val="00323BCB"/>
    <w:rsid w:val="00327126"/>
    <w:rsid w:val="00337E16"/>
    <w:rsid w:val="003452E2"/>
    <w:rsid w:val="00347459"/>
    <w:rsid w:val="00353B3B"/>
    <w:rsid w:val="00357E62"/>
    <w:rsid w:val="00371495"/>
    <w:rsid w:val="00371924"/>
    <w:rsid w:val="0037225D"/>
    <w:rsid w:val="00374C9D"/>
    <w:rsid w:val="00384239"/>
    <w:rsid w:val="00385311"/>
    <w:rsid w:val="00387072"/>
    <w:rsid w:val="00397BAD"/>
    <w:rsid w:val="003A1356"/>
    <w:rsid w:val="003A2ECD"/>
    <w:rsid w:val="003A4E11"/>
    <w:rsid w:val="003A7B0C"/>
    <w:rsid w:val="003B17FF"/>
    <w:rsid w:val="003B53F1"/>
    <w:rsid w:val="003D0152"/>
    <w:rsid w:val="003D44B2"/>
    <w:rsid w:val="003D63E0"/>
    <w:rsid w:val="003F65B8"/>
    <w:rsid w:val="00405C69"/>
    <w:rsid w:val="0040788A"/>
    <w:rsid w:val="00410FE6"/>
    <w:rsid w:val="004371D8"/>
    <w:rsid w:val="00450E82"/>
    <w:rsid w:val="00453085"/>
    <w:rsid w:val="004530AC"/>
    <w:rsid w:val="0045473A"/>
    <w:rsid w:val="00472F4E"/>
    <w:rsid w:val="00474261"/>
    <w:rsid w:val="00475C2D"/>
    <w:rsid w:val="004855F1"/>
    <w:rsid w:val="004930C4"/>
    <w:rsid w:val="0049615F"/>
    <w:rsid w:val="004A63DA"/>
    <w:rsid w:val="004B1F1E"/>
    <w:rsid w:val="004C0DA8"/>
    <w:rsid w:val="004C1641"/>
    <w:rsid w:val="004C4D25"/>
    <w:rsid w:val="004C6FA3"/>
    <w:rsid w:val="004D4E8F"/>
    <w:rsid w:val="004D56F6"/>
    <w:rsid w:val="004E32F3"/>
    <w:rsid w:val="004E4B16"/>
    <w:rsid w:val="004F667A"/>
    <w:rsid w:val="004F731A"/>
    <w:rsid w:val="005065BE"/>
    <w:rsid w:val="00511A9D"/>
    <w:rsid w:val="00513C85"/>
    <w:rsid w:val="00521A5A"/>
    <w:rsid w:val="00521B3E"/>
    <w:rsid w:val="00523ECE"/>
    <w:rsid w:val="005248DB"/>
    <w:rsid w:val="00542017"/>
    <w:rsid w:val="00546BDF"/>
    <w:rsid w:val="0055302F"/>
    <w:rsid w:val="00565E37"/>
    <w:rsid w:val="0057211C"/>
    <w:rsid w:val="0058049E"/>
    <w:rsid w:val="00587E3C"/>
    <w:rsid w:val="00592641"/>
    <w:rsid w:val="005A5192"/>
    <w:rsid w:val="005A6482"/>
    <w:rsid w:val="005A7E90"/>
    <w:rsid w:val="005C27C4"/>
    <w:rsid w:val="005C4C6E"/>
    <w:rsid w:val="005C62A9"/>
    <w:rsid w:val="005C6924"/>
    <w:rsid w:val="005E587D"/>
    <w:rsid w:val="005F24D1"/>
    <w:rsid w:val="00600B93"/>
    <w:rsid w:val="00600DD7"/>
    <w:rsid w:val="006124C1"/>
    <w:rsid w:val="00612F47"/>
    <w:rsid w:val="00631869"/>
    <w:rsid w:val="0063395F"/>
    <w:rsid w:val="00634AAA"/>
    <w:rsid w:val="00640D9B"/>
    <w:rsid w:val="00641709"/>
    <w:rsid w:val="0064561E"/>
    <w:rsid w:val="00647994"/>
    <w:rsid w:val="00650216"/>
    <w:rsid w:val="006652C2"/>
    <w:rsid w:val="006721E5"/>
    <w:rsid w:val="006732C9"/>
    <w:rsid w:val="00674E13"/>
    <w:rsid w:val="00676BAF"/>
    <w:rsid w:val="00692DF8"/>
    <w:rsid w:val="006B1F8B"/>
    <w:rsid w:val="006B726E"/>
    <w:rsid w:val="006B739F"/>
    <w:rsid w:val="006B7F1E"/>
    <w:rsid w:val="006C26FA"/>
    <w:rsid w:val="006C2FB2"/>
    <w:rsid w:val="006C4689"/>
    <w:rsid w:val="006C702A"/>
    <w:rsid w:val="006D403A"/>
    <w:rsid w:val="006D5729"/>
    <w:rsid w:val="006E4DAD"/>
    <w:rsid w:val="006F5F3A"/>
    <w:rsid w:val="00710B70"/>
    <w:rsid w:val="0071156E"/>
    <w:rsid w:val="0071625B"/>
    <w:rsid w:val="007213A6"/>
    <w:rsid w:val="00721AF6"/>
    <w:rsid w:val="00721FDA"/>
    <w:rsid w:val="00733560"/>
    <w:rsid w:val="00733790"/>
    <w:rsid w:val="00737C4F"/>
    <w:rsid w:val="00747ED7"/>
    <w:rsid w:val="00752F01"/>
    <w:rsid w:val="00773B0C"/>
    <w:rsid w:val="00782AF7"/>
    <w:rsid w:val="007833A1"/>
    <w:rsid w:val="00792DFB"/>
    <w:rsid w:val="007951F3"/>
    <w:rsid w:val="007A63A1"/>
    <w:rsid w:val="007B7628"/>
    <w:rsid w:val="007C560B"/>
    <w:rsid w:val="007C616F"/>
    <w:rsid w:val="007E0A74"/>
    <w:rsid w:val="007F1E10"/>
    <w:rsid w:val="007F270D"/>
    <w:rsid w:val="007F558F"/>
    <w:rsid w:val="00803CD6"/>
    <w:rsid w:val="008070A7"/>
    <w:rsid w:val="00811760"/>
    <w:rsid w:val="00814F7B"/>
    <w:rsid w:val="008220E1"/>
    <w:rsid w:val="00825478"/>
    <w:rsid w:val="0083164C"/>
    <w:rsid w:val="00835A81"/>
    <w:rsid w:val="0084119D"/>
    <w:rsid w:val="00842684"/>
    <w:rsid w:val="00852B06"/>
    <w:rsid w:val="0086403D"/>
    <w:rsid w:val="00866211"/>
    <w:rsid w:val="00866896"/>
    <w:rsid w:val="00876462"/>
    <w:rsid w:val="00883D85"/>
    <w:rsid w:val="00886CAE"/>
    <w:rsid w:val="00890C51"/>
    <w:rsid w:val="00893C6C"/>
    <w:rsid w:val="00894BD5"/>
    <w:rsid w:val="00896066"/>
    <w:rsid w:val="008969FA"/>
    <w:rsid w:val="00897EC0"/>
    <w:rsid w:val="008A148E"/>
    <w:rsid w:val="008A1767"/>
    <w:rsid w:val="008A292A"/>
    <w:rsid w:val="008A5CB0"/>
    <w:rsid w:val="008A5E04"/>
    <w:rsid w:val="008B4589"/>
    <w:rsid w:val="008B763E"/>
    <w:rsid w:val="008B79BC"/>
    <w:rsid w:val="008B79D1"/>
    <w:rsid w:val="008C416F"/>
    <w:rsid w:val="008D19F4"/>
    <w:rsid w:val="008E3E5D"/>
    <w:rsid w:val="0090248C"/>
    <w:rsid w:val="009126E1"/>
    <w:rsid w:val="009207C8"/>
    <w:rsid w:val="0092116C"/>
    <w:rsid w:val="00924073"/>
    <w:rsid w:val="009324AE"/>
    <w:rsid w:val="00933A9C"/>
    <w:rsid w:val="009416EC"/>
    <w:rsid w:val="00944A9D"/>
    <w:rsid w:val="00944AAE"/>
    <w:rsid w:val="009517C8"/>
    <w:rsid w:val="0095512C"/>
    <w:rsid w:val="00964870"/>
    <w:rsid w:val="00964CEE"/>
    <w:rsid w:val="00975332"/>
    <w:rsid w:val="00980651"/>
    <w:rsid w:val="009833C0"/>
    <w:rsid w:val="00984C13"/>
    <w:rsid w:val="009857E6"/>
    <w:rsid w:val="00997295"/>
    <w:rsid w:val="009A0B8B"/>
    <w:rsid w:val="009A0D43"/>
    <w:rsid w:val="009A2B0D"/>
    <w:rsid w:val="009A5057"/>
    <w:rsid w:val="009A7159"/>
    <w:rsid w:val="009A7722"/>
    <w:rsid w:val="009C28F0"/>
    <w:rsid w:val="009C7CCD"/>
    <w:rsid w:val="009D0A9E"/>
    <w:rsid w:val="009D7D44"/>
    <w:rsid w:val="009E611C"/>
    <w:rsid w:val="009F4A9E"/>
    <w:rsid w:val="009F626A"/>
    <w:rsid w:val="009F7D47"/>
    <w:rsid w:val="00A1631D"/>
    <w:rsid w:val="00A2380A"/>
    <w:rsid w:val="00A24BEC"/>
    <w:rsid w:val="00A256FE"/>
    <w:rsid w:val="00A25DA7"/>
    <w:rsid w:val="00A26CED"/>
    <w:rsid w:val="00A276BE"/>
    <w:rsid w:val="00A42096"/>
    <w:rsid w:val="00A470F8"/>
    <w:rsid w:val="00A51085"/>
    <w:rsid w:val="00A64231"/>
    <w:rsid w:val="00A667A8"/>
    <w:rsid w:val="00A80044"/>
    <w:rsid w:val="00A811B4"/>
    <w:rsid w:val="00A85A10"/>
    <w:rsid w:val="00A97BB4"/>
    <w:rsid w:val="00AA0B75"/>
    <w:rsid w:val="00AB663A"/>
    <w:rsid w:val="00AC7253"/>
    <w:rsid w:val="00AD0960"/>
    <w:rsid w:val="00AD27BE"/>
    <w:rsid w:val="00AD65AD"/>
    <w:rsid w:val="00AE515D"/>
    <w:rsid w:val="00AF300C"/>
    <w:rsid w:val="00B043FF"/>
    <w:rsid w:val="00B10E18"/>
    <w:rsid w:val="00B11223"/>
    <w:rsid w:val="00B210C1"/>
    <w:rsid w:val="00B549D3"/>
    <w:rsid w:val="00B54A43"/>
    <w:rsid w:val="00B5593E"/>
    <w:rsid w:val="00B677BF"/>
    <w:rsid w:val="00B84B7F"/>
    <w:rsid w:val="00B87E1E"/>
    <w:rsid w:val="00B91A18"/>
    <w:rsid w:val="00B9570D"/>
    <w:rsid w:val="00BA15DA"/>
    <w:rsid w:val="00BA4937"/>
    <w:rsid w:val="00BA5756"/>
    <w:rsid w:val="00BB7BD6"/>
    <w:rsid w:val="00BC2C92"/>
    <w:rsid w:val="00BC4D01"/>
    <w:rsid w:val="00BD5433"/>
    <w:rsid w:val="00BE414B"/>
    <w:rsid w:val="00BE74EF"/>
    <w:rsid w:val="00BF19EF"/>
    <w:rsid w:val="00BF2C6F"/>
    <w:rsid w:val="00BF34AF"/>
    <w:rsid w:val="00BF4AD7"/>
    <w:rsid w:val="00C00152"/>
    <w:rsid w:val="00C008D9"/>
    <w:rsid w:val="00C071B2"/>
    <w:rsid w:val="00C07E4A"/>
    <w:rsid w:val="00C1303E"/>
    <w:rsid w:val="00C13F2F"/>
    <w:rsid w:val="00C167AB"/>
    <w:rsid w:val="00C20465"/>
    <w:rsid w:val="00C21C44"/>
    <w:rsid w:val="00C21E02"/>
    <w:rsid w:val="00C24C71"/>
    <w:rsid w:val="00C31E20"/>
    <w:rsid w:val="00C556C8"/>
    <w:rsid w:val="00C55DC4"/>
    <w:rsid w:val="00C5670A"/>
    <w:rsid w:val="00C830C8"/>
    <w:rsid w:val="00C8395D"/>
    <w:rsid w:val="00C93819"/>
    <w:rsid w:val="00C96481"/>
    <w:rsid w:val="00C97538"/>
    <w:rsid w:val="00C97F58"/>
    <w:rsid w:val="00CA3A20"/>
    <w:rsid w:val="00CA5EAB"/>
    <w:rsid w:val="00CC09EE"/>
    <w:rsid w:val="00CC4047"/>
    <w:rsid w:val="00CC4FB6"/>
    <w:rsid w:val="00CD0747"/>
    <w:rsid w:val="00CD2136"/>
    <w:rsid w:val="00CD37DA"/>
    <w:rsid w:val="00CE0023"/>
    <w:rsid w:val="00CF1560"/>
    <w:rsid w:val="00CF5E0A"/>
    <w:rsid w:val="00D063F4"/>
    <w:rsid w:val="00D108DE"/>
    <w:rsid w:val="00D21BA6"/>
    <w:rsid w:val="00D3471E"/>
    <w:rsid w:val="00D37073"/>
    <w:rsid w:val="00D4340D"/>
    <w:rsid w:val="00D5380E"/>
    <w:rsid w:val="00D607B5"/>
    <w:rsid w:val="00D6535D"/>
    <w:rsid w:val="00D7076D"/>
    <w:rsid w:val="00D71D3A"/>
    <w:rsid w:val="00D83B1D"/>
    <w:rsid w:val="00D87E8E"/>
    <w:rsid w:val="00D924D1"/>
    <w:rsid w:val="00D92FBC"/>
    <w:rsid w:val="00DA6EE9"/>
    <w:rsid w:val="00DB1F56"/>
    <w:rsid w:val="00DB3561"/>
    <w:rsid w:val="00DC4563"/>
    <w:rsid w:val="00DD138C"/>
    <w:rsid w:val="00DD1C50"/>
    <w:rsid w:val="00DD5888"/>
    <w:rsid w:val="00DD6AE4"/>
    <w:rsid w:val="00DF165D"/>
    <w:rsid w:val="00DF4DCC"/>
    <w:rsid w:val="00E00B9C"/>
    <w:rsid w:val="00E05D99"/>
    <w:rsid w:val="00E110B7"/>
    <w:rsid w:val="00E1181C"/>
    <w:rsid w:val="00E11DAE"/>
    <w:rsid w:val="00E2597A"/>
    <w:rsid w:val="00E307EC"/>
    <w:rsid w:val="00E327A4"/>
    <w:rsid w:val="00E35ACE"/>
    <w:rsid w:val="00E40399"/>
    <w:rsid w:val="00E52D69"/>
    <w:rsid w:val="00E52F82"/>
    <w:rsid w:val="00E55D25"/>
    <w:rsid w:val="00E704AD"/>
    <w:rsid w:val="00E73CE4"/>
    <w:rsid w:val="00E77796"/>
    <w:rsid w:val="00E80EFA"/>
    <w:rsid w:val="00E820B7"/>
    <w:rsid w:val="00E82DB8"/>
    <w:rsid w:val="00E87939"/>
    <w:rsid w:val="00E92A0F"/>
    <w:rsid w:val="00EA0C06"/>
    <w:rsid w:val="00EA2FAC"/>
    <w:rsid w:val="00EB00C1"/>
    <w:rsid w:val="00EB0BBD"/>
    <w:rsid w:val="00EB1949"/>
    <w:rsid w:val="00EB2D6A"/>
    <w:rsid w:val="00EB6656"/>
    <w:rsid w:val="00EB6EBA"/>
    <w:rsid w:val="00EC0C1A"/>
    <w:rsid w:val="00ED568B"/>
    <w:rsid w:val="00EE2245"/>
    <w:rsid w:val="00EF15D9"/>
    <w:rsid w:val="00EF460A"/>
    <w:rsid w:val="00F03C8E"/>
    <w:rsid w:val="00F06FCD"/>
    <w:rsid w:val="00F12821"/>
    <w:rsid w:val="00F132DA"/>
    <w:rsid w:val="00F16756"/>
    <w:rsid w:val="00F2309F"/>
    <w:rsid w:val="00F33438"/>
    <w:rsid w:val="00F346DB"/>
    <w:rsid w:val="00F46367"/>
    <w:rsid w:val="00F542D1"/>
    <w:rsid w:val="00F5799F"/>
    <w:rsid w:val="00F63703"/>
    <w:rsid w:val="00F66C94"/>
    <w:rsid w:val="00F70079"/>
    <w:rsid w:val="00F70A58"/>
    <w:rsid w:val="00F82615"/>
    <w:rsid w:val="00F8402F"/>
    <w:rsid w:val="00F97D81"/>
    <w:rsid w:val="00FB7DD5"/>
    <w:rsid w:val="00FD2124"/>
    <w:rsid w:val="00FD2C7F"/>
    <w:rsid w:val="00FF24D1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B4374"/>
  <w15:chartTrackingRefBased/>
  <w15:docId w15:val="{DC6FF4C7-7C64-480B-A0DE-8BAFC36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70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7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7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1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1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1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1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1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1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17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709"/>
  </w:style>
  <w:style w:type="paragraph" w:styleId="Footer">
    <w:name w:val="footer"/>
    <w:basedOn w:val="Normal"/>
    <w:link w:val="FooterChar"/>
    <w:uiPriority w:val="99"/>
    <w:unhideWhenUsed/>
    <w:rsid w:val="00641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709"/>
  </w:style>
  <w:style w:type="paragraph" w:customStyle="1" w:styleId="CellBody">
    <w:name w:val="Cell Body"/>
    <w:basedOn w:val="BodyText"/>
    <w:rsid w:val="00641709"/>
    <w:pPr>
      <w:spacing w:before="40" w:after="40"/>
    </w:pPr>
  </w:style>
  <w:style w:type="paragraph" w:customStyle="1" w:styleId="CellHead">
    <w:name w:val="Cell Head"/>
    <w:basedOn w:val="CellBody"/>
    <w:rsid w:val="00641709"/>
    <w:pPr>
      <w:spacing w:before="120"/>
    </w:pPr>
    <w:rPr>
      <w:b/>
    </w:rPr>
  </w:style>
  <w:style w:type="paragraph" w:styleId="BodyText">
    <w:name w:val="Body Text"/>
    <w:basedOn w:val="Normal"/>
    <w:link w:val="BodyTextChar"/>
    <w:uiPriority w:val="99"/>
    <w:semiHidden/>
    <w:unhideWhenUsed/>
    <w:rsid w:val="006417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1709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F465A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5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332"/>
  </w:style>
  <w:style w:type="character" w:customStyle="1" w:styleId="CommentTextChar">
    <w:name w:val="Comment Text Char"/>
    <w:basedOn w:val="DefaultParagraphFont"/>
    <w:link w:val="CommentText"/>
    <w:uiPriority w:val="99"/>
    <w:rsid w:val="00975332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332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6B1F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1F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5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1A2BE-5999-4A81-AD28-9F23033C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2247</Words>
  <Characters>12813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Cinnamon Pearson</dc:creator>
  <cp:keywords/>
  <dc:description/>
  <cp:lastModifiedBy>Cinnamon Pearson</cp:lastModifiedBy>
  <cp:revision>3</cp:revision>
  <cp:lastPrinted>2025-12-15T22:53:00Z</cp:lastPrinted>
  <dcterms:created xsi:type="dcterms:W3CDTF">2026-07-08T16:10:00Z</dcterms:created>
  <dcterms:modified xsi:type="dcterms:W3CDTF">2026-07-08T16:14:00Z</dcterms:modified>
</cp:coreProperties>
</file>